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jc w:val="center"/>
      </w:pPr>
      <w:r>
        <w:rPr>
          <w:rFonts w:ascii="Aptos" w:hAnsi="Aptos"/>
          <w:b/>
          <w:color w:val="2F5597"/>
          <w:sz w:val="22"/>
        </w:rPr>
        <w:t>WEEK 4  |  QUALITY ASSURANCE PROJECT</w:t>
      </w:r>
    </w:p>
    <w:p>
      <w:pPr>
        <w:pStyle w:val="Title"/>
        <w:jc w:val="center"/>
      </w:pPr>
      <w:r>
        <w:t>Performance Testing and Analysis</w:t>
      </w:r>
    </w:p>
    <w:p>
      <w:pPr>
        <w:jc w:val="center"/>
      </w:pPr>
      <w:r>
        <w:rPr>
          <w:rFonts w:ascii="Aptos" w:hAnsi="Aptos"/>
          <w:b/>
          <w:color w:val="1F3755"/>
          <w:sz w:val="34"/>
        </w:rPr>
        <w:t>Online Student Management Portal</w:t>
      </w:r>
    </w:p>
    <w:p>
      <w:pPr>
        <w:spacing w:before="360"/>
        <w:jc w:val="center"/>
      </w:pPr>
      <w:r>
        <w:t>Apache JMeter test design and simulated outcome analysis</w:t>
      </w:r>
    </w:p>
    <w:p>
      <w:pPr>
        <w:spacing w:before="1240"/>
        <w:jc w:val="center"/>
      </w:pPr>
      <w:r>
        <w:t>Report date: 13 September 2026</w:t>
        <w:br/>
        <w:t>Internship period: 21 August 2026 to 2 October 2026</w:t>
        <w:br/>
        <w:t>Prepared by: Junior Quality Assurance Analyst</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4997"/>
        <w:gridCol w:w="4997"/>
      </w:tblGrid>
      <w:tr>
        <w:tc>
          <w:tcPr>
            <w:tcW w:type="dxa" w:w="2520"/>
            <w:shd w:fill="17365D"/>
          </w:tcPr>
          <w:p>
            <w:r>
              <w:rPr>
                <w:rFonts w:ascii="Aptos" w:hAnsi="Aptos"/>
                <w:b/>
                <w:color w:val="FFFFFF"/>
                <w:sz w:val="16"/>
              </w:rPr>
              <w:t>Field</w:t>
            </w:r>
          </w:p>
        </w:tc>
        <w:tc>
          <w:tcPr>
            <w:tcW w:type="dxa" w:w="7920"/>
            <w:shd w:fill="17365D"/>
          </w:tcPr>
          <w:p>
            <w:r>
              <w:rPr>
                <w:rFonts w:ascii="Aptos" w:hAnsi="Aptos"/>
                <w:b/>
                <w:color w:val="FFFFFF"/>
                <w:sz w:val="16"/>
              </w:rPr>
              <w:t>Details</w:t>
            </w:r>
          </w:p>
        </w:tc>
      </w:tr>
      <w:tr>
        <w:tc>
          <w:tcPr>
            <w:tcW w:type="dxa" w:w="2520"/>
            <w:vAlign w:val="center"/>
          </w:tcPr>
          <w:p>
            <w:pPr>
              <w:spacing w:after="20"/>
            </w:pPr>
            <w:r>
              <w:rPr>
                <w:rFonts w:ascii="Aptos" w:hAnsi="Aptos"/>
                <w:sz w:val="16"/>
              </w:rPr>
              <w:t>Document ID</w:t>
            </w:r>
          </w:p>
        </w:tc>
        <w:tc>
          <w:tcPr>
            <w:tcW w:type="dxa" w:w="7920"/>
            <w:vAlign w:val="center"/>
          </w:tcPr>
          <w:p>
            <w:pPr>
              <w:spacing w:after="20"/>
            </w:pPr>
            <w:r>
              <w:rPr>
                <w:rFonts w:ascii="Aptos" w:hAnsi="Aptos"/>
                <w:sz w:val="16"/>
              </w:rPr>
              <w:t>QA-OSMP-PERF-004</w:t>
            </w:r>
          </w:p>
        </w:tc>
      </w:tr>
      <w:tr>
        <w:tc>
          <w:tcPr>
            <w:tcW w:type="dxa" w:w="2520"/>
            <w:vAlign w:val="center"/>
            <w:shd w:fill="EEF3F8"/>
          </w:tcPr>
          <w:p>
            <w:pPr>
              <w:spacing w:after="20"/>
            </w:pPr>
            <w:r>
              <w:rPr>
                <w:rFonts w:ascii="Aptos" w:hAnsi="Aptos"/>
                <w:sz w:val="16"/>
              </w:rPr>
              <w:t>Version / status</w:t>
            </w:r>
          </w:p>
        </w:tc>
        <w:tc>
          <w:tcPr>
            <w:tcW w:type="dxa" w:w="7920"/>
            <w:vAlign w:val="center"/>
            <w:shd w:fill="EEF3F8"/>
          </w:tcPr>
          <w:p>
            <w:pPr>
              <w:spacing w:after="20"/>
            </w:pPr>
            <w:r>
              <w:rPr>
                <w:rFonts w:ascii="Aptos" w:hAnsi="Aptos"/>
                <w:sz w:val="16"/>
              </w:rPr>
              <w:t>1.0 / Simulated training exercise</w:t>
            </w:r>
          </w:p>
        </w:tc>
      </w:tr>
      <w:tr>
        <w:tc>
          <w:tcPr>
            <w:tcW w:type="dxa" w:w="2520"/>
            <w:vAlign w:val="center"/>
          </w:tcPr>
          <w:p>
            <w:pPr>
              <w:spacing w:after="20"/>
            </w:pPr>
            <w:r>
              <w:rPr>
                <w:rFonts w:ascii="Aptos" w:hAnsi="Aptos"/>
                <w:sz w:val="16"/>
              </w:rPr>
              <w:t>Application</w:t>
            </w:r>
          </w:p>
        </w:tc>
        <w:tc>
          <w:tcPr>
            <w:tcW w:type="dxa" w:w="7920"/>
            <w:vAlign w:val="center"/>
          </w:tcPr>
          <w:p>
            <w:pPr>
              <w:spacing w:after="20"/>
            </w:pPr>
            <w:r>
              <w:rPr>
                <w:rFonts w:ascii="Aptos" w:hAnsi="Aptos"/>
                <w:sz w:val="16"/>
              </w:rPr>
              <w:t>Hypothetical Online Student Management Portal</w:t>
            </w:r>
          </w:p>
        </w:tc>
      </w:tr>
      <w:tr>
        <w:tc>
          <w:tcPr>
            <w:tcW w:type="dxa" w:w="2520"/>
            <w:vAlign w:val="center"/>
            <w:shd w:fill="EEF3F8"/>
          </w:tcPr>
          <w:p>
            <w:pPr>
              <w:spacing w:after="20"/>
            </w:pPr>
            <w:r>
              <w:rPr>
                <w:rFonts w:ascii="Aptos" w:hAnsi="Aptos"/>
                <w:sz w:val="16"/>
              </w:rPr>
              <w:t>Performance tool</w:t>
            </w:r>
          </w:p>
        </w:tc>
        <w:tc>
          <w:tcPr>
            <w:tcW w:type="dxa" w:w="7920"/>
            <w:vAlign w:val="center"/>
            <w:shd w:fill="EEF3F8"/>
          </w:tcPr>
          <w:p>
            <w:pPr>
              <w:spacing w:after="20"/>
            </w:pPr>
            <w:r>
              <w:rPr>
                <w:rFonts w:ascii="Aptos" w:hAnsi="Aptos"/>
                <w:sz w:val="16"/>
              </w:rPr>
              <w:t>Apache JMeter</w:t>
            </w:r>
          </w:p>
        </w:tc>
      </w:tr>
      <w:tr>
        <w:tc>
          <w:tcPr>
            <w:tcW w:type="dxa" w:w="2520"/>
            <w:vAlign w:val="center"/>
          </w:tcPr>
          <w:p>
            <w:pPr>
              <w:spacing w:after="20"/>
            </w:pPr>
            <w:r>
              <w:rPr>
                <w:rFonts w:ascii="Aptos" w:hAnsi="Aptos"/>
                <w:sz w:val="16"/>
              </w:rPr>
              <w:t>Report date</w:t>
            </w:r>
          </w:p>
        </w:tc>
        <w:tc>
          <w:tcPr>
            <w:tcW w:type="dxa" w:w="7920"/>
            <w:vAlign w:val="center"/>
          </w:tcPr>
          <w:p>
            <w:pPr>
              <w:spacing w:after="20"/>
            </w:pPr>
            <w:r>
              <w:rPr>
                <w:rFonts w:ascii="Aptos" w:hAnsi="Aptos"/>
                <w:sz w:val="16"/>
              </w:rPr>
              <w:t>13 September 2026</w:t>
            </w:r>
          </w:p>
        </w:tc>
      </w:tr>
      <w:tr>
        <w:tc>
          <w:tcPr>
            <w:tcW w:type="dxa" w:w="2520"/>
            <w:vAlign w:val="center"/>
            <w:shd w:fill="EEF3F8"/>
          </w:tcPr>
          <w:p>
            <w:pPr>
              <w:spacing w:after="20"/>
            </w:pPr>
            <w:r>
              <w:rPr>
                <w:rFonts w:ascii="Aptos" w:hAnsi="Aptos"/>
                <w:sz w:val="16"/>
              </w:rPr>
              <w:t>Internship period</w:t>
            </w:r>
          </w:p>
        </w:tc>
        <w:tc>
          <w:tcPr>
            <w:tcW w:type="dxa" w:w="7920"/>
            <w:vAlign w:val="center"/>
            <w:shd w:fill="EEF3F8"/>
          </w:tcPr>
          <w:p>
            <w:pPr>
              <w:spacing w:after="20"/>
            </w:pPr>
            <w:r>
              <w:rPr>
                <w:rFonts w:ascii="Aptos" w:hAnsi="Aptos"/>
                <w:sz w:val="16"/>
              </w:rPr>
              <w:t>21 August 2026 to 2 October 2026</w:t>
            </w:r>
          </w:p>
        </w:tc>
      </w:tr>
    </w:tbl>
    <w:p>
      <w:pPr>
        <w:spacing w:after="0"/>
      </w:pPr>
    </w:p>
    <w:p>
      <w:pPr>
        <w:pStyle w:val="Heading2"/>
      </w:pPr>
      <w:r>
        <w:t>Simulation and evidence notice</w:t>
      </w:r>
    </w:p>
    <w:p>
      <w:r>
        <w:t>No deployed portal, approved target host, or server monitoring data was supplied. The values and charts in this report are explicitly synthetic, created to demonstrate performance-test planning and result analysis. No Apache JMeter run against an application is claimed. The inferred bottlenecks are hypotheses based on the synthetic trend and require validation with a real, authorized test run and server-side telemetry.</w:t>
      </w:r>
    </w:p>
    <w:p>
      <w:pPr>
        <w:pStyle w:val="Heading1"/>
      </w:pPr>
      <w:r>
        <w:t>1. Executive summary</w:t>
      </w:r>
    </w:p>
    <w:p>
      <w:r>
        <w:t>This report defines a JMeter performance-test plan for common student-portal workflows and demonstrates how load results can be reviewed. Three concurrency profiles (10, 50, and 100 virtual users) are modeled across a representative mix of authentication, dashboard, search, profile, and student-record activity. A five-minute steady-state window follows ramp-up. Synthetic metrics show latency rising sharply at 100 users, throughput flattening between 50 and 100 users, and errors increasing from 1.4% to 8.8%. Against the proposed 50-user acceptance targets (p95 no more than 2 seconds, error rate no more than 1%, and throughput at least 60 transactions/second), the modeled 50-user profile meets latency and throughput goals but misses the error-rate target. This is an illustrative exercise only and cannot establish the actual portal’s capacity.</w:t>
      </w:r>
    </w:p>
    <w:p>
      <w:pPr>
        <w:pStyle w:val="Heading1"/>
      </w:pPr>
      <w:r>
        <w:t>2. Objectives and scope</w:t>
      </w:r>
    </w:p>
    <w:p>
      <w:r>
        <w:t>The objective is to define a repeatable performance workload, specify success thresholds, and interpret response time, throughput, and error behavior under increasing concurrency. The modeled workload focuses on portal operations likely to matter to students and administrators.</w:t>
      </w:r>
    </w:p>
    <w:p>
      <w:pPr>
        <w:pStyle w:val="Heading2"/>
      </w:pPr>
      <w:r>
        <w:t>In scope</w:t>
      </w:r>
    </w:p>
    <w:p>
      <w:pPr>
        <w:pStyle w:val="ListBullet"/>
        <w:spacing w:after="40"/>
      </w:pPr>
      <w:r>
        <w:t>Login and session creation</w:t>
      </w:r>
    </w:p>
    <w:p>
      <w:pPr>
        <w:pStyle w:val="ListBullet"/>
        <w:spacing w:after="40"/>
      </w:pPr>
      <w:r>
        <w:t>Dashboard and profile retrieval</w:t>
      </w:r>
    </w:p>
    <w:p>
      <w:pPr>
        <w:pStyle w:val="ListBullet"/>
        <w:spacing w:after="40"/>
      </w:pPr>
      <w:r>
        <w:t>Student search and list results</w:t>
      </w:r>
    </w:p>
    <w:p>
      <w:pPr>
        <w:pStyle w:val="ListBullet"/>
        <w:spacing w:after="40"/>
      </w:pPr>
      <w:r>
        <w:t>Student record create, read, update, and delete requests</w:t>
      </w:r>
    </w:p>
    <w:p>
      <w:pPr>
        <w:pStyle w:val="ListBullet"/>
        <w:spacing w:after="40"/>
      </w:pPr>
      <w:r>
        <w:t>Response-time percentiles, completed throughput, and HTTP/application error rate</w:t>
      </w:r>
    </w:p>
    <w:p>
      <w:pPr>
        <w:pStyle w:val="ListBullet"/>
        <w:spacing w:after="40"/>
      </w:pPr>
      <w:r>
        <w:t>Test-client and server monitoring requirements for a future real run</w:t>
      </w:r>
    </w:p>
    <w:p>
      <w:pPr>
        <w:pStyle w:val="Heading2"/>
      </w:pPr>
      <w:r>
        <w:t>Out of scope</w:t>
      </w:r>
    </w:p>
    <w:p>
      <w:pPr>
        <w:pStyle w:val="ListBullet"/>
        <w:spacing w:after="40"/>
      </w:pPr>
      <w:r>
        <w:t>Production load generation or testing without written authorization</w:t>
      </w:r>
    </w:p>
    <w:p>
      <w:pPr>
        <w:pStyle w:val="ListBullet"/>
        <w:spacing w:after="40"/>
      </w:pPr>
      <w:r>
        <w:t>Real student data or production credentials</w:t>
      </w:r>
    </w:p>
    <w:p>
      <w:pPr>
        <w:pStyle w:val="ListBullet"/>
        <w:spacing w:after="40"/>
      </w:pPr>
      <w:r>
        <w:t>Security penetration, accessibility, browser rendering, and mobile network testing</w:t>
      </w:r>
    </w:p>
    <w:p>
      <w:pPr>
        <w:pStyle w:val="ListBullet"/>
        <w:spacing w:after="40"/>
      </w:pPr>
      <w:r>
        <w:t>Root-cause confirmation without server-side telemetry</w:t>
      </w:r>
    </w:p>
    <w:p>
      <w:pPr>
        <w:pStyle w:val="Heading1"/>
      </w:pPr>
      <w:r>
        <w:t>3. Tool selection and test design</w:t>
      </w:r>
    </w:p>
    <w:p>
      <w:r>
        <w:t>Apache JMeter is selected because its test plan models virtual users with Thread Groups, HTTP samplers, timers, assertions, cookie handling, and result logging. Apache documentation advises using command-line mode for load tests and minimizing listeners that consume resources during a run. The detailed test tree should be assembled and smoke-checked in the GUI, then run non-GUI for measured workloads. [1][2]</w:t>
      </w:r>
    </w:p>
    <w:tbl>
      <w:tblPr>
        <w:tblStyle w:val="TableGrid"/>
        <w:tblW w:type="auto" w:w="0"/>
        <w:jc w:val="center"/>
        <w:tblLook w:firstColumn="1" w:firstRow="1" w:lastColumn="0" w:lastRow="0" w:noHBand="0" w:noVBand="1" w:val="04A0"/>
      </w:tblPr>
      <w:tblGrid>
        <w:gridCol w:w="4997"/>
        <w:gridCol w:w="4997"/>
      </w:tblGrid>
      <w:tr>
        <w:tc>
          <w:tcPr>
            <w:tcW w:type="dxa" w:w="2664"/>
            <w:shd w:fill="17365D"/>
          </w:tcPr>
          <w:p>
            <w:r>
              <w:rPr>
                <w:rFonts w:ascii="Aptos" w:hAnsi="Aptos"/>
                <w:b/>
                <w:color w:val="FFFFFF"/>
                <w:sz w:val="16"/>
              </w:rPr>
              <w:t>Workload item</w:t>
            </w:r>
          </w:p>
        </w:tc>
        <w:tc>
          <w:tcPr>
            <w:tcW w:type="dxa" w:w="7776"/>
            <w:shd w:fill="17365D"/>
          </w:tcPr>
          <w:p>
            <w:r>
              <w:rPr>
                <w:rFonts w:ascii="Aptos" w:hAnsi="Aptos"/>
                <w:b/>
                <w:color w:val="FFFFFF"/>
                <w:sz w:val="16"/>
              </w:rPr>
              <w:t>Planned setting</w:t>
            </w:r>
          </w:p>
        </w:tc>
      </w:tr>
      <w:tr>
        <w:tc>
          <w:tcPr>
            <w:tcW w:type="dxa" w:w="2664"/>
            <w:vAlign w:val="center"/>
          </w:tcPr>
          <w:p>
            <w:pPr>
              <w:spacing w:after="20"/>
            </w:pPr>
            <w:r>
              <w:rPr>
                <w:rFonts w:ascii="Aptos" w:hAnsi="Aptos"/>
                <w:sz w:val="16"/>
              </w:rPr>
              <w:t>Base target</w:t>
            </w:r>
          </w:p>
        </w:tc>
        <w:tc>
          <w:tcPr>
            <w:tcW w:type="dxa" w:w="7776"/>
            <w:vAlign w:val="center"/>
          </w:tcPr>
          <w:p>
            <w:pPr>
              <w:spacing w:after="20"/>
            </w:pPr>
            <w:r>
              <w:rPr>
                <w:rFonts w:ascii="Aptos" w:hAnsi="Aptos"/>
                <w:sz w:val="16"/>
              </w:rPr>
              <w:t>TEST_HOST parameter; localhost/test environment only until approved host is supplied</w:t>
            </w:r>
          </w:p>
        </w:tc>
      </w:tr>
      <w:tr>
        <w:tc>
          <w:tcPr>
            <w:tcW w:type="dxa" w:w="2664"/>
            <w:vAlign w:val="center"/>
            <w:shd w:fill="EEF3F8"/>
          </w:tcPr>
          <w:p>
            <w:pPr>
              <w:spacing w:after="20"/>
            </w:pPr>
            <w:r>
              <w:rPr>
                <w:rFonts w:ascii="Aptos" w:hAnsi="Aptos"/>
                <w:sz w:val="16"/>
              </w:rPr>
              <w:t>User profiles</w:t>
            </w:r>
          </w:p>
        </w:tc>
        <w:tc>
          <w:tcPr>
            <w:tcW w:type="dxa" w:w="7776"/>
            <w:vAlign w:val="center"/>
            <w:shd w:fill="EEF3F8"/>
          </w:tcPr>
          <w:p>
            <w:pPr>
              <w:spacing w:after="20"/>
            </w:pPr>
            <w:r>
              <w:rPr>
                <w:rFonts w:ascii="Aptos" w:hAnsi="Aptos"/>
                <w:sz w:val="16"/>
              </w:rPr>
              <w:t>10-user smoke/baseline; 50-user expected load; 100-user stress profile</w:t>
            </w:r>
          </w:p>
        </w:tc>
      </w:tr>
      <w:tr>
        <w:tc>
          <w:tcPr>
            <w:tcW w:type="dxa" w:w="2664"/>
            <w:vAlign w:val="center"/>
          </w:tcPr>
          <w:p>
            <w:pPr>
              <w:spacing w:after="20"/>
            </w:pPr>
            <w:r>
              <w:rPr>
                <w:rFonts w:ascii="Aptos" w:hAnsi="Aptos"/>
                <w:sz w:val="16"/>
              </w:rPr>
              <w:t>Ramp-up</w:t>
            </w:r>
          </w:p>
        </w:tc>
        <w:tc>
          <w:tcPr>
            <w:tcW w:type="dxa" w:w="7776"/>
            <w:vAlign w:val="center"/>
          </w:tcPr>
          <w:p>
            <w:pPr>
              <w:spacing w:after="20"/>
            </w:pPr>
            <w:r>
              <w:rPr>
                <w:rFonts w:ascii="Aptos" w:hAnsi="Aptos"/>
                <w:sz w:val="16"/>
              </w:rPr>
              <w:t>60 seconds for each profile to avoid an abrupt synchronized start</w:t>
            </w:r>
          </w:p>
        </w:tc>
      </w:tr>
      <w:tr>
        <w:tc>
          <w:tcPr>
            <w:tcW w:type="dxa" w:w="2664"/>
            <w:vAlign w:val="center"/>
            <w:shd w:fill="EEF3F8"/>
          </w:tcPr>
          <w:p>
            <w:pPr>
              <w:spacing w:after="20"/>
            </w:pPr>
            <w:r>
              <w:rPr>
                <w:rFonts w:ascii="Aptos" w:hAnsi="Aptos"/>
                <w:sz w:val="16"/>
              </w:rPr>
              <w:t>Steady-state duration</w:t>
            </w:r>
          </w:p>
        </w:tc>
        <w:tc>
          <w:tcPr>
            <w:tcW w:type="dxa" w:w="7776"/>
            <w:vAlign w:val="center"/>
            <w:shd w:fill="EEF3F8"/>
          </w:tcPr>
          <w:p>
            <w:pPr>
              <w:spacing w:after="20"/>
            </w:pPr>
            <w:r>
              <w:rPr>
                <w:rFonts w:ascii="Aptos" w:hAnsi="Aptos"/>
                <w:sz w:val="16"/>
              </w:rPr>
              <w:t>5 minutes at target concurrency after ramp-up</w:t>
            </w:r>
          </w:p>
        </w:tc>
      </w:tr>
      <w:tr>
        <w:tc>
          <w:tcPr>
            <w:tcW w:type="dxa" w:w="2664"/>
            <w:vAlign w:val="center"/>
          </w:tcPr>
          <w:p>
            <w:pPr>
              <w:spacing w:after="20"/>
            </w:pPr>
            <w:r>
              <w:rPr>
                <w:rFonts w:ascii="Aptos" w:hAnsi="Aptos"/>
                <w:sz w:val="16"/>
              </w:rPr>
              <w:t>Cool-down</w:t>
            </w:r>
          </w:p>
        </w:tc>
        <w:tc>
          <w:tcPr>
            <w:tcW w:type="dxa" w:w="7776"/>
            <w:vAlign w:val="center"/>
          </w:tcPr>
          <w:p>
            <w:pPr>
              <w:spacing w:after="20"/>
            </w:pPr>
            <w:r>
              <w:rPr>
                <w:rFonts w:ascii="Aptos" w:hAnsi="Aptos"/>
                <w:sz w:val="16"/>
              </w:rPr>
              <w:t>30 seconds, then stop and preserve results</w:t>
            </w:r>
          </w:p>
        </w:tc>
      </w:tr>
      <w:tr>
        <w:tc>
          <w:tcPr>
            <w:tcW w:type="dxa" w:w="2664"/>
            <w:vAlign w:val="center"/>
            <w:shd w:fill="EEF3F8"/>
          </w:tcPr>
          <w:p>
            <w:pPr>
              <w:spacing w:after="20"/>
            </w:pPr>
            <w:r>
              <w:rPr>
                <w:rFonts w:ascii="Aptos" w:hAnsi="Aptos"/>
                <w:sz w:val="16"/>
              </w:rPr>
              <w:t>Think time</w:t>
            </w:r>
          </w:p>
        </w:tc>
        <w:tc>
          <w:tcPr>
            <w:tcW w:type="dxa" w:w="7776"/>
            <w:vAlign w:val="center"/>
            <w:shd w:fill="EEF3F8"/>
          </w:tcPr>
          <w:p>
            <w:pPr>
              <w:spacing w:after="20"/>
            </w:pPr>
            <w:r>
              <w:rPr>
                <w:rFonts w:ascii="Aptos" w:hAnsi="Aptos"/>
                <w:sz w:val="16"/>
              </w:rPr>
              <w:t>1 to 3 seconds randomized between user actions</w:t>
            </w:r>
          </w:p>
        </w:tc>
      </w:tr>
      <w:tr>
        <w:tc>
          <w:tcPr>
            <w:tcW w:type="dxa" w:w="2664"/>
            <w:vAlign w:val="center"/>
          </w:tcPr>
          <w:p>
            <w:pPr>
              <w:spacing w:after="20"/>
            </w:pPr>
            <w:r>
              <w:rPr>
                <w:rFonts w:ascii="Aptos" w:hAnsi="Aptos"/>
                <w:sz w:val="16"/>
              </w:rPr>
              <w:t>Transaction mix</w:t>
            </w:r>
          </w:p>
        </w:tc>
        <w:tc>
          <w:tcPr>
            <w:tcW w:type="dxa" w:w="7776"/>
            <w:vAlign w:val="center"/>
          </w:tcPr>
          <w:p>
            <w:pPr>
              <w:spacing w:after="20"/>
            </w:pPr>
            <w:r>
              <w:rPr>
                <w:rFonts w:ascii="Aptos" w:hAnsi="Aptos"/>
                <w:sz w:val="16"/>
              </w:rPr>
              <w:t>Login 10%; dashboard 25%; search 35%; profile 15%; record CRUD 15%</w:t>
            </w:r>
          </w:p>
        </w:tc>
      </w:tr>
      <w:tr>
        <w:tc>
          <w:tcPr>
            <w:tcW w:type="dxa" w:w="2664"/>
            <w:vAlign w:val="center"/>
            <w:shd w:fill="EEF3F8"/>
          </w:tcPr>
          <w:p>
            <w:pPr>
              <w:spacing w:after="20"/>
            </w:pPr>
            <w:r>
              <w:rPr>
                <w:rFonts w:ascii="Aptos" w:hAnsi="Aptos"/>
                <w:sz w:val="16"/>
              </w:rPr>
              <w:t>Test data</w:t>
            </w:r>
          </w:p>
        </w:tc>
        <w:tc>
          <w:tcPr>
            <w:tcW w:type="dxa" w:w="7776"/>
            <w:vAlign w:val="center"/>
            <w:shd w:fill="EEF3F8"/>
          </w:tcPr>
          <w:p>
            <w:pPr>
              <w:spacing w:after="20"/>
            </w:pPr>
            <w:r>
              <w:rPr>
                <w:rFonts w:ascii="Aptos" w:hAnsi="Aptos"/>
                <w:sz w:val="16"/>
              </w:rPr>
              <w:t>Synthetic, unique student IDs; isolated test database; no production records</w:t>
            </w:r>
          </w:p>
        </w:tc>
      </w:tr>
      <w:tr>
        <w:tc>
          <w:tcPr>
            <w:tcW w:type="dxa" w:w="2664"/>
            <w:vAlign w:val="center"/>
          </w:tcPr>
          <w:p>
            <w:pPr>
              <w:spacing w:after="20"/>
            </w:pPr>
            <w:r>
              <w:rPr>
                <w:rFonts w:ascii="Aptos" w:hAnsi="Aptos"/>
                <w:sz w:val="16"/>
              </w:rPr>
              <w:t>JMeter configuration</w:t>
            </w:r>
          </w:p>
        </w:tc>
        <w:tc>
          <w:tcPr>
            <w:tcW w:type="dxa" w:w="7776"/>
            <w:vAlign w:val="center"/>
          </w:tcPr>
          <w:p>
            <w:pPr>
              <w:spacing w:after="20"/>
            </w:pPr>
            <w:r>
              <w:rPr>
                <w:rFonts w:ascii="Aptos" w:hAnsi="Aptos"/>
                <w:sz w:val="16"/>
              </w:rPr>
              <w:t>HTTP Request Defaults, Cookie Manager, CSV Data Set for unique test identities, assertions, Summary/Aggregate results saved to JTL</w:t>
            </w:r>
          </w:p>
        </w:tc>
      </w:tr>
    </w:tbl>
    <w:p>
      <w:pPr>
        <w:spacing w:after="0"/>
      </w:pPr>
    </w:p>
    <w:p>
      <w:pPr>
        <w:pStyle w:val="Heading1"/>
      </w:pPr>
      <w:r>
        <w:t>4. Workload journeys and acceptance criteria</w:t>
      </w:r>
    </w:p>
    <w:tbl>
      <w:tblPr>
        <w:tblStyle w:val="TableGrid"/>
        <w:tblW w:type="auto" w:w="0"/>
        <w:jc w:val="center"/>
        <w:tblLook w:firstColumn="1" w:firstRow="1" w:lastColumn="0" w:lastRow="0" w:noHBand="0" w:noVBand="1" w:val="04A0"/>
      </w:tblPr>
      <w:tblGrid>
        <w:gridCol w:w="3331"/>
        <w:gridCol w:w="3331"/>
        <w:gridCol w:w="3331"/>
      </w:tblGrid>
      <w:tr>
        <w:tc>
          <w:tcPr>
            <w:tcW w:type="dxa" w:w="1872"/>
            <w:shd w:fill="17365D"/>
          </w:tcPr>
          <w:p>
            <w:r>
              <w:rPr>
                <w:rFonts w:ascii="Aptos" w:hAnsi="Aptos"/>
                <w:b/>
                <w:color w:val="FFFFFF"/>
                <w:sz w:val="16"/>
              </w:rPr>
              <w:t>Journey</w:t>
            </w:r>
          </w:p>
        </w:tc>
        <w:tc>
          <w:tcPr>
            <w:tcW w:type="dxa" w:w="5184"/>
            <w:shd w:fill="17365D"/>
          </w:tcPr>
          <w:p>
            <w:r>
              <w:rPr>
                <w:rFonts w:ascii="Aptos" w:hAnsi="Aptos"/>
                <w:b/>
                <w:color w:val="FFFFFF"/>
                <w:sz w:val="16"/>
              </w:rPr>
              <w:t>Representative actions</w:t>
            </w:r>
          </w:p>
        </w:tc>
        <w:tc>
          <w:tcPr>
            <w:tcW w:type="dxa" w:w="3384"/>
            <w:shd w:fill="17365D"/>
          </w:tcPr>
          <w:p>
            <w:r>
              <w:rPr>
                <w:rFonts w:ascii="Aptos" w:hAnsi="Aptos"/>
                <w:b/>
                <w:color w:val="FFFFFF"/>
                <w:sz w:val="16"/>
              </w:rPr>
              <w:t>Checks</w:t>
            </w:r>
          </w:p>
        </w:tc>
      </w:tr>
      <w:tr>
        <w:tc>
          <w:tcPr>
            <w:tcW w:type="dxa" w:w="1872"/>
            <w:vAlign w:val="center"/>
          </w:tcPr>
          <w:p>
            <w:pPr>
              <w:spacing w:after="20"/>
            </w:pPr>
            <w:r>
              <w:rPr>
                <w:rFonts w:ascii="Aptos" w:hAnsi="Aptos"/>
                <w:sz w:val="16"/>
              </w:rPr>
              <w:t>Authentication</w:t>
            </w:r>
          </w:p>
        </w:tc>
        <w:tc>
          <w:tcPr>
            <w:tcW w:type="dxa" w:w="5184"/>
            <w:vAlign w:val="center"/>
          </w:tcPr>
          <w:p>
            <w:pPr>
              <w:spacing w:after="20"/>
            </w:pPr>
            <w:r>
              <w:rPr>
                <w:rFonts w:ascii="Aptos" w:hAnsi="Aptos"/>
                <w:sz w:val="16"/>
              </w:rPr>
              <w:t>Open login; submit valid synthetic credentials; reach dashboard</w:t>
            </w:r>
          </w:p>
        </w:tc>
        <w:tc>
          <w:tcPr>
            <w:tcW w:type="dxa" w:w="3384"/>
            <w:vAlign w:val="center"/>
          </w:tcPr>
          <w:p>
            <w:pPr>
              <w:spacing w:after="20"/>
            </w:pPr>
            <w:r>
              <w:rPr>
                <w:rFonts w:ascii="Aptos" w:hAnsi="Aptos"/>
                <w:sz w:val="16"/>
              </w:rPr>
              <w:t>Successful response, expected redirect/content, session cookie established</w:t>
            </w:r>
          </w:p>
        </w:tc>
      </w:tr>
      <w:tr>
        <w:tc>
          <w:tcPr>
            <w:tcW w:type="dxa" w:w="1872"/>
            <w:vAlign w:val="center"/>
            <w:shd w:fill="EEF3F8"/>
          </w:tcPr>
          <w:p>
            <w:pPr>
              <w:spacing w:after="20"/>
            </w:pPr>
            <w:r>
              <w:rPr>
                <w:rFonts w:ascii="Aptos" w:hAnsi="Aptos"/>
                <w:sz w:val="16"/>
              </w:rPr>
              <w:t>Dashboard/profile</w:t>
            </w:r>
          </w:p>
        </w:tc>
        <w:tc>
          <w:tcPr>
            <w:tcW w:type="dxa" w:w="5184"/>
            <w:vAlign w:val="center"/>
            <w:shd w:fill="EEF3F8"/>
          </w:tcPr>
          <w:p>
            <w:pPr>
              <w:spacing w:after="20"/>
            </w:pPr>
            <w:r>
              <w:rPr>
                <w:rFonts w:ascii="Aptos" w:hAnsi="Aptos"/>
                <w:sz w:val="16"/>
              </w:rPr>
              <w:t>Load dashboard; open profile; return</w:t>
            </w:r>
          </w:p>
        </w:tc>
        <w:tc>
          <w:tcPr>
            <w:tcW w:type="dxa" w:w="3384"/>
            <w:vAlign w:val="center"/>
            <w:shd w:fill="EEF3F8"/>
          </w:tcPr>
          <w:p>
            <w:pPr>
              <w:spacing w:after="20"/>
            </w:pPr>
            <w:r>
              <w:rPr>
                <w:rFonts w:ascii="Aptos" w:hAnsi="Aptos"/>
                <w:sz w:val="16"/>
              </w:rPr>
              <w:t>Successful status, expected page/API payload, no server error</w:t>
            </w:r>
          </w:p>
        </w:tc>
      </w:tr>
      <w:tr>
        <w:tc>
          <w:tcPr>
            <w:tcW w:type="dxa" w:w="1872"/>
            <w:vAlign w:val="center"/>
          </w:tcPr>
          <w:p>
            <w:pPr>
              <w:spacing w:after="20"/>
            </w:pPr>
            <w:r>
              <w:rPr>
                <w:rFonts w:ascii="Aptos" w:hAnsi="Aptos"/>
                <w:sz w:val="16"/>
              </w:rPr>
              <w:t>Search</w:t>
            </w:r>
          </w:p>
        </w:tc>
        <w:tc>
          <w:tcPr>
            <w:tcW w:type="dxa" w:w="5184"/>
            <w:vAlign w:val="center"/>
          </w:tcPr>
          <w:p>
            <w:pPr>
              <w:spacing w:after="20"/>
            </w:pPr>
            <w:r>
              <w:rPr>
                <w:rFonts w:ascii="Aptos" w:hAnsi="Aptos"/>
                <w:sz w:val="16"/>
              </w:rPr>
              <w:t>Submit common and unique student queries; page through results</w:t>
            </w:r>
          </w:p>
        </w:tc>
        <w:tc>
          <w:tcPr>
            <w:tcW w:type="dxa" w:w="3384"/>
            <w:vAlign w:val="center"/>
          </w:tcPr>
          <w:p>
            <w:pPr>
              <w:spacing w:after="20"/>
            </w:pPr>
            <w:r>
              <w:rPr>
                <w:rFonts w:ascii="Aptos" w:hAnsi="Aptos"/>
                <w:sz w:val="16"/>
              </w:rPr>
              <w:t>Search response correct; bounded result size; no unexpected errors</w:t>
            </w:r>
          </w:p>
        </w:tc>
      </w:tr>
      <w:tr>
        <w:tc>
          <w:tcPr>
            <w:tcW w:type="dxa" w:w="1872"/>
            <w:vAlign w:val="center"/>
            <w:shd w:fill="EEF3F8"/>
          </w:tcPr>
          <w:p>
            <w:pPr>
              <w:spacing w:after="20"/>
            </w:pPr>
            <w:r>
              <w:rPr>
                <w:rFonts w:ascii="Aptos" w:hAnsi="Aptos"/>
                <w:sz w:val="16"/>
              </w:rPr>
              <w:t>Record management</w:t>
            </w:r>
          </w:p>
        </w:tc>
        <w:tc>
          <w:tcPr>
            <w:tcW w:type="dxa" w:w="5184"/>
            <w:vAlign w:val="center"/>
            <w:shd w:fill="EEF3F8"/>
          </w:tcPr>
          <w:p>
            <w:pPr>
              <w:spacing w:after="20"/>
            </w:pPr>
            <w:r>
              <w:rPr>
                <w:rFonts w:ascii="Aptos" w:hAnsi="Aptos"/>
                <w:sz w:val="16"/>
              </w:rPr>
              <w:t>Create; read; update; delete isolated synthetic record</w:t>
            </w:r>
          </w:p>
        </w:tc>
        <w:tc>
          <w:tcPr>
            <w:tcW w:type="dxa" w:w="3384"/>
            <w:vAlign w:val="center"/>
            <w:shd w:fill="EEF3F8"/>
          </w:tcPr>
          <w:p>
            <w:pPr>
              <w:spacing w:after="20"/>
            </w:pPr>
            <w:r>
              <w:rPr>
                <w:rFonts w:ascii="Aptos" w:hAnsi="Aptos"/>
                <w:sz w:val="16"/>
              </w:rPr>
              <w:t>Correct state transitions; cleanup after the run</w:t>
            </w:r>
          </w:p>
        </w:tc>
      </w:tr>
      <w:tr>
        <w:tc>
          <w:tcPr>
            <w:tcW w:type="dxa" w:w="1872"/>
            <w:vAlign w:val="center"/>
          </w:tcPr>
          <w:p>
            <w:pPr>
              <w:spacing w:after="20"/>
            </w:pPr>
            <w:r>
              <w:rPr>
                <w:rFonts w:ascii="Aptos" w:hAnsi="Aptos"/>
                <w:sz w:val="16"/>
              </w:rPr>
              <w:t>Logout</w:t>
            </w:r>
          </w:p>
        </w:tc>
        <w:tc>
          <w:tcPr>
            <w:tcW w:type="dxa" w:w="5184"/>
            <w:vAlign w:val="center"/>
          </w:tcPr>
          <w:p>
            <w:pPr>
              <w:spacing w:after="20"/>
            </w:pPr>
            <w:r>
              <w:rPr>
                <w:rFonts w:ascii="Aptos" w:hAnsi="Aptos"/>
                <w:sz w:val="16"/>
              </w:rPr>
              <w:t>End session; attempt protected request</w:t>
            </w:r>
          </w:p>
        </w:tc>
        <w:tc>
          <w:tcPr>
            <w:tcW w:type="dxa" w:w="3384"/>
            <w:vAlign w:val="center"/>
          </w:tcPr>
          <w:p>
            <w:pPr>
              <w:spacing w:after="20"/>
            </w:pPr>
            <w:r>
              <w:rPr>
                <w:rFonts w:ascii="Aptos" w:hAnsi="Aptos"/>
                <w:sz w:val="16"/>
              </w:rPr>
              <w:t>Logout response accepted; session invalidated as designed</w:t>
            </w:r>
          </w:p>
        </w:tc>
      </w:tr>
    </w:tbl>
    <w:p>
      <w:pPr>
        <w:spacing w:after="0"/>
      </w:pPr>
    </w:p>
    <w:tbl>
      <w:tblPr>
        <w:tblStyle w:val="TableGrid"/>
        <w:tblW w:type="auto" w:w="0"/>
        <w:jc w:val="center"/>
        <w:tblLook w:firstColumn="1" w:firstRow="1" w:lastColumn="0" w:lastRow="0" w:noHBand="0" w:noVBand="1" w:val="04A0"/>
      </w:tblPr>
      <w:tblGrid>
        <w:gridCol w:w="3331"/>
        <w:gridCol w:w="3331"/>
        <w:gridCol w:w="3331"/>
      </w:tblGrid>
      <w:tr>
        <w:tc>
          <w:tcPr>
            <w:tcW w:type="dxa" w:w="2304"/>
            <w:shd w:fill="17365D"/>
          </w:tcPr>
          <w:p>
            <w:r>
              <w:rPr>
                <w:rFonts w:ascii="Aptos" w:hAnsi="Aptos"/>
                <w:b/>
                <w:color w:val="FFFFFF"/>
                <w:sz w:val="16"/>
              </w:rPr>
              <w:t>Metric / gate</w:t>
            </w:r>
          </w:p>
        </w:tc>
        <w:tc>
          <w:tcPr>
            <w:tcW w:type="dxa" w:w="3384"/>
            <w:shd w:fill="17365D"/>
          </w:tcPr>
          <w:p>
            <w:r>
              <w:rPr>
                <w:rFonts w:ascii="Aptos" w:hAnsi="Aptos"/>
                <w:b/>
                <w:color w:val="FFFFFF"/>
                <w:sz w:val="16"/>
              </w:rPr>
              <w:t>Proposed threshold at 50 users</w:t>
            </w:r>
          </w:p>
        </w:tc>
        <w:tc>
          <w:tcPr>
            <w:tcW w:type="dxa" w:w="4752"/>
            <w:shd w:fill="17365D"/>
          </w:tcPr>
          <w:p>
            <w:r>
              <w:rPr>
                <w:rFonts w:ascii="Aptos" w:hAnsi="Aptos"/>
                <w:b/>
                <w:color w:val="FFFFFF"/>
                <w:sz w:val="16"/>
              </w:rPr>
              <w:t>Why it matters</w:t>
            </w:r>
          </w:p>
        </w:tc>
      </w:tr>
      <w:tr>
        <w:tc>
          <w:tcPr>
            <w:tcW w:type="dxa" w:w="2304"/>
            <w:vAlign w:val="center"/>
          </w:tcPr>
          <w:p>
            <w:pPr>
              <w:spacing w:after="20"/>
            </w:pPr>
            <w:r>
              <w:rPr>
                <w:rFonts w:ascii="Aptos" w:hAnsi="Aptos"/>
                <w:sz w:val="16"/>
              </w:rPr>
              <w:t>p95 response time</w:t>
            </w:r>
          </w:p>
        </w:tc>
        <w:tc>
          <w:tcPr>
            <w:tcW w:type="dxa" w:w="3384"/>
            <w:vAlign w:val="center"/>
          </w:tcPr>
          <w:p>
            <w:pPr>
              <w:spacing w:after="20"/>
            </w:pPr>
            <w:r>
              <w:rPr>
                <w:rFonts w:ascii="Aptos" w:hAnsi="Aptos"/>
                <w:sz w:val="16"/>
              </w:rPr>
              <w:t>≤ 2,000 ms</w:t>
            </w:r>
          </w:p>
        </w:tc>
        <w:tc>
          <w:tcPr>
            <w:tcW w:type="dxa" w:w="4752"/>
            <w:vAlign w:val="center"/>
          </w:tcPr>
          <w:p>
            <w:pPr>
              <w:spacing w:after="20"/>
            </w:pPr>
            <w:r>
              <w:rPr>
                <w:rFonts w:ascii="Aptos" w:hAnsi="Aptos"/>
                <w:sz w:val="16"/>
              </w:rPr>
              <w:t>Keeps slower user requests within agreed service target</w:t>
            </w:r>
          </w:p>
        </w:tc>
      </w:tr>
      <w:tr>
        <w:tc>
          <w:tcPr>
            <w:tcW w:type="dxa" w:w="2304"/>
            <w:vAlign w:val="center"/>
            <w:shd w:fill="EEF3F8"/>
          </w:tcPr>
          <w:p>
            <w:pPr>
              <w:spacing w:after="20"/>
            </w:pPr>
            <w:r>
              <w:rPr>
                <w:rFonts w:ascii="Aptos" w:hAnsi="Aptos"/>
                <w:sz w:val="16"/>
              </w:rPr>
              <w:t>Error rate</w:t>
            </w:r>
          </w:p>
        </w:tc>
        <w:tc>
          <w:tcPr>
            <w:tcW w:type="dxa" w:w="3384"/>
            <w:vAlign w:val="center"/>
            <w:shd w:fill="EEF3F8"/>
          </w:tcPr>
          <w:p>
            <w:pPr>
              <w:spacing w:after="20"/>
            </w:pPr>
            <w:r>
              <w:rPr>
                <w:rFonts w:ascii="Aptos" w:hAnsi="Aptos"/>
                <w:sz w:val="16"/>
              </w:rPr>
              <w:t>≤ 1.0%</w:t>
            </w:r>
          </w:p>
        </w:tc>
        <w:tc>
          <w:tcPr>
            <w:tcW w:type="dxa" w:w="4752"/>
            <w:vAlign w:val="center"/>
            <w:shd w:fill="EEF3F8"/>
          </w:tcPr>
          <w:p>
            <w:pPr>
              <w:spacing w:after="20"/>
            </w:pPr>
            <w:r>
              <w:rPr>
                <w:rFonts w:ascii="Aptos" w:hAnsi="Aptos"/>
                <w:sz w:val="16"/>
              </w:rPr>
              <w:t>Limits failed requests during normal expected load</w:t>
            </w:r>
          </w:p>
        </w:tc>
      </w:tr>
      <w:tr>
        <w:tc>
          <w:tcPr>
            <w:tcW w:type="dxa" w:w="2304"/>
            <w:vAlign w:val="center"/>
          </w:tcPr>
          <w:p>
            <w:pPr>
              <w:spacing w:after="20"/>
            </w:pPr>
            <w:r>
              <w:rPr>
                <w:rFonts w:ascii="Aptos" w:hAnsi="Aptos"/>
                <w:sz w:val="16"/>
              </w:rPr>
              <w:t>Throughput</w:t>
            </w:r>
          </w:p>
        </w:tc>
        <w:tc>
          <w:tcPr>
            <w:tcW w:type="dxa" w:w="3384"/>
            <w:vAlign w:val="center"/>
          </w:tcPr>
          <w:p>
            <w:pPr>
              <w:spacing w:after="20"/>
            </w:pPr>
            <w:r>
              <w:rPr>
                <w:rFonts w:ascii="Aptos" w:hAnsi="Aptos"/>
                <w:sz w:val="16"/>
              </w:rPr>
              <w:t>≥ 60 completed transactions/second</w:t>
            </w:r>
          </w:p>
        </w:tc>
        <w:tc>
          <w:tcPr>
            <w:tcW w:type="dxa" w:w="4752"/>
            <w:vAlign w:val="center"/>
          </w:tcPr>
          <w:p>
            <w:pPr>
              <w:spacing w:after="20"/>
            </w:pPr>
            <w:r>
              <w:rPr>
                <w:rFonts w:ascii="Aptos" w:hAnsi="Aptos"/>
                <w:sz w:val="16"/>
              </w:rPr>
              <w:t>Confirms the expected workload can be sustained</w:t>
            </w:r>
          </w:p>
        </w:tc>
      </w:tr>
      <w:tr>
        <w:tc>
          <w:tcPr>
            <w:tcW w:type="dxa" w:w="2304"/>
            <w:vAlign w:val="center"/>
            <w:shd w:fill="EEF3F8"/>
          </w:tcPr>
          <w:p>
            <w:pPr>
              <w:spacing w:after="20"/>
            </w:pPr>
            <w:r>
              <w:rPr>
                <w:rFonts w:ascii="Aptos" w:hAnsi="Aptos"/>
                <w:sz w:val="16"/>
              </w:rPr>
              <w:t>Resource headroom</w:t>
            </w:r>
          </w:p>
        </w:tc>
        <w:tc>
          <w:tcPr>
            <w:tcW w:type="dxa" w:w="3384"/>
            <w:vAlign w:val="center"/>
            <w:shd w:fill="EEF3F8"/>
          </w:tcPr>
          <w:p>
            <w:pPr>
              <w:spacing w:after="20"/>
            </w:pPr>
            <w:r>
              <w:rPr>
                <w:rFonts w:ascii="Aptos" w:hAnsi="Aptos"/>
                <w:sz w:val="16"/>
              </w:rPr>
              <w:t>No sustained CPU or memory saturation; no growing queue or pool exhaustion</w:t>
            </w:r>
          </w:p>
        </w:tc>
        <w:tc>
          <w:tcPr>
            <w:tcW w:type="dxa" w:w="4752"/>
            <w:vAlign w:val="center"/>
            <w:shd w:fill="EEF3F8"/>
          </w:tcPr>
          <w:p>
            <w:pPr>
              <w:spacing w:after="20"/>
            </w:pPr>
            <w:r>
              <w:rPr>
                <w:rFonts w:ascii="Aptos" w:hAnsi="Aptos"/>
                <w:sz w:val="16"/>
              </w:rPr>
              <w:t>Requires server-side monitoring to determine capacity and cause</w:t>
            </w:r>
          </w:p>
        </w:tc>
      </w:tr>
    </w:tbl>
    <w:p>
      <w:pPr>
        <w:spacing w:after="0"/>
      </w:pPr>
    </w:p>
    <w:p>
      <w:pPr>
        <w:pStyle w:val="Heading1"/>
      </w:pPr>
      <w:r>
        <w:t>5. Test environment and controls</w:t>
      </w:r>
    </w:p>
    <w:p>
      <w:pPr>
        <w:pStyle w:val="ListBullet"/>
        <w:spacing w:after="40"/>
      </w:pPr>
      <w:r>
        <w:t>Use a staging environment representative of production topology, with production-like application configuration but synthetic records.</w:t>
      </w:r>
    </w:p>
    <w:p>
      <w:pPr>
        <w:pStyle w:val="ListBullet"/>
        <w:spacing w:after="40"/>
      </w:pPr>
      <w:r>
        <w:t>Record host/OS, application build, database version and size, cache configuration, network route, JMeter version, JVM settings, and load-generator specifications.</w:t>
      </w:r>
    </w:p>
    <w:p>
      <w:pPr>
        <w:pStyle w:val="ListBullet"/>
        <w:spacing w:after="40"/>
      </w:pPr>
      <w:r>
        <w:t>Capture server CPU, memory, garbage collection, database query latency, connection-pool utilization, cache hit rate, network saturation, and application logs at the same timestamps as JTL data.</w:t>
      </w:r>
    </w:p>
    <w:p>
      <w:pPr>
        <w:pStyle w:val="ListBullet"/>
        <w:spacing w:after="40"/>
      </w:pPr>
      <w:r>
        <w:t>Run the load generator separately from the application where practical; confirm the generator has enough CPU/network capacity so it does not become the bottleneck.</w:t>
      </w:r>
    </w:p>
    <w:p>
      <w:pPr>
        <w:pStyle w:val="ListBullet"/>
        <w:spacing w:after="40"/>
      </w:pPr>
      <w:r>
        <w:t>Obtain target-owner approval, define stop conditions, and avoid external or production endpoints.</w:t>
      </w:r>
    </w:p>
    <w:p>
      <w:pPr>
        <w:pStyle w:val="ListBullet"/>
        <w:spacing w:after="40"/>
      </w:pPr>
      <w:r>
        <w:t>Use a gradual ramp and non-GUI execution. Avoid heavy GUI listeners during the measured run. [2]</w:t>
      </w:r>
    </w:p>
    <w:p>
      <w:pPr>
        <w:pStyle w:val="Heading1"/>
      </w:pPr>
      <w:r>
        <w:t>6. Proposed execution procedure</w:t>
      </w:r>
    </w:p>
    <w:p>
      <w:pPr>
        <w:pStyle w:val="ListBullet"/>
        <w:spacing w:after="40"/>
      </w:pPr>
      <w:r>
        <w:t>Confirm written authorization, the target URL, synthetic accounts, environment reset approach, monitoring access, and emergency stop contact.</w:t>
      </w:r>
    </w:p>
    <w:p>
      <w:pPr>
        <w:pStyle w:val="ListBullet"/>
        <w:spacing w:after="40"/>
      </w:pPr>
      <w:r>
        <w:t>Build the JMeter plan with a Thread Group, HTTP Request Defaults, Cookie Manager, workload controllers, randomized timers, response assertions, and minimal result listeners.</w:t>
      </w:r>
    </w:p>
    <w:p>
      <w:pPr>
        <w:pStyle w:val="ListBullet"/>
        <w:spacing w:after="40"/>
      </w:pPr>
      <w:r>
        <w:t>Run a short smoke test at one to five users to validate paths, authentication, assertions, cleanup, and result fields. Do not treat smoke data as capacity evidence.</w:t>
      </w:r>
    </w:p>
    <w:p>
      <w:pPr>
        <w:pStyle w:val="ListBullet"/>
        <w:spacing w:after="40"/>
      </w:pPr>
      <w:r>
        <w:t>For each profile (10, 50, then 100 users), ramp over 60 seconds, sustain for five minutes, and allow a 30-second cool-down. Preserve separate JTL and JMeter logs per profile.</w:t>
      </w:r>
    </w:p>
    <w:p>
      <w:pPr>
        <w:pStyle w:val="ListBullet"/>
        <w:spacing w:after="40"/>
      </w:pPr>
      <w:r>
        <w:t>Repeat the profiles at least twice after a warm-up run if this were a real test; compare trends and investigate large run-to-run variation.</w:t>
      </w:r>
    </w:p>
    <w:p>
      <w:pPr>
        <w:pStyle w:val="ListBullet"/>
        <w:spacing w:after="40"/>
      </w:pPr>
      <w:r>
        <w:t>Analyze p50/p95/p99 response times, completed throughput, error percentage and classes, plus time-correlated application and infrastructure telemetry.</w:t>
      </w:r>
    </w:p>
    <w:p>
      <w:pPr>
        <w:pStyle w:val="ListBullet"/>
        <w:spacing w:after="40"/>
      </w:pPr>
      <w:r>
        <w:t>Stop early if error rates exceed the agreed abort threshold, service health degrades, or target owners request a stop. Restore the environment and remove created test data.</w:t>
      </w:r>
    </w:p>
    <w:p>
      <w:pPr>
        <w:pStyle w:val="Heading1"/>
      </w:pPr>
      <w:r>
        <w:t>7. Demonstration results — synthetic dataset</w:t>
      </w:r>
    </w:p>
    <w:p>
      <w:r>
        <w:t>The following dataset is illustrative only. It is supplied to demonstrate charting and analysis in the absence of a live application. It is not a JMeter export or observed measurement. “Transactions” are modeled sample counts over the five-minute steady-state window.</w:t>
      </w:r>
    </w:p>
    <w:tbl>
      <w:tblPr>
        <w:tblStyle w:val="TableGrid"/>
        <w:tblW w:type="auto" w:w="0"/>
        <w:jc w:val="center"/>
        <w:tblLook w:firstColumn="1" w:firstRow="1" w:lastColumn="0" w:lastRow="0" w:noHBand="0" w:noVBand="1" w:val="04A0"/>
      </w:tblPr>
      <w:tblGrid>
        <w:gridCol w:w="1249"/>
        <w:gridCol w:w="1249"/>
        <w:gridCol w:w="1249"/>
        <w:gridCol w:w="1249"/>
        <w:gridCol w:w="1249"/>
        <w:gridCol w:w="1249"/>
        <w:gridCol w:w="1249"/>
        <w:gridCol w:w="1249"/>
      </w:tblGrid>
      <w:tr>
        <w:tc>
          <w:tcPr>
            <w:tcW w:type="dxa" w:w="792"/>
            <w:shd w:fill="17365D"/>
          </w:tcPr>
          <w:p>
            <w:r>
              <w:rPr>
                <w:rFonts w:ascii="Aptos" w:hAnsi="Aptos"/>
                <w:b/>
                <w:color w:val="FFFFFF"/>
                <w:sz w:val="16"/>
              </w:rPr>
              <w:t>Users</w:t>
            </w:r>
          </w:p>
        </w:tc>
        <w:tc>
          <w:tcPr>
            <w:tcW w:type="dxa" w:w="1512"/>
            <w:shd w:fill="17365D"/>
          </w:tcPr>
          <w:p>
            <w:r>
              <w:rPr>
                <w:rFonts w:ascii="Aptos" w:hAnsi="Aptos"/>
                <w:b/>
                <w:color w:val="FFFFFF"/>
                <w:sz w:val="16"/>
              </w:rPr>
              <w:t>Samples / transactions</w:t>
            </w:r>
          </w:p>
        </w:tc>
        <w:tc>
          <w:tcPr>
            <w:tcW w:type="dxa" w:w="1080"/>
            <w:shd w:fill="17365D"/>
          </w:tcPr>
          <w:p>
            <w:r>
              <w:rPr>
                <w:rFonts w:ascii="Aptos" w:hAnsi="Aptos"/>
                <w:b/>
                <w:color w:val="FFFFFF"/>
                <w:sz w:val="16"/>
              </w:rPr>
              <w:t>Mean (ms)</w:t>
            </w:r>
          </w:p>
        </w:tc>
        <w:tc>
          <w:tcPr>
            <w:tcW w:type="dxa" w:w="1008"/>
            <w:shd w:fill="17365D"/>
          </w:tcPr>
          <w:p>
            <w:r>
              <w:rPr>
                <w:rFonts w:ascii="Aptos" w:hAnsi="Aptos"/>
                <w:b/>
                <w:color w:val="FFFFFF"/>
                <w:sz w:val="16"/>
              </w:rPr>
              <w:t>p50 (ms)</w:t>
            </w:r>
          </w:p>
        </w:tc>
        <w:tc>
          <w:tcPr>
            <w:tcW w:type="dxa" w:w="1008"/>
            <w:shd w:fill="17365D"/>
          </w:tcPr>
          <w:p>
            <w:r>
              <w:rPr>
                <w:rFonts w:ascii="Aptos" w:hAnsi="Aptos"/>
                <w:b/>
                <w:color w:val="FFFFFF"/>
                <w:sz w:val="16"/>
              </w:rPr>
              <w:t>p95 (ms)</w:t>
            </w:r>
          </w:p>
        </w:tc>
        <w:tc>
          <w:tcPr>
            <w:tcW w:type="dxa" w:w="1008"/>
            <w:shd w:fill="17365D"/>
          </w:tcPr>
          <w:p>
            <w:r>
              <w:rPr>
                <w:rFonts w:ascii="Aptos" w:hAnsi="Aptos"/>
                <w:b/>
                <w:color w:val="FFFFFF"/>
                <w:sz w:val="16"/>
              </w:rPr>
              <w:t>p99 (ms)</w:t>
            </w:r>
          </w:p>
        </w:tc>
        <w:tc>
          <w:tcPr>
            <w:tcW w:type="dxa" w:w="1656"/>
            <w:shd w:fill="17365D"/>
          </w:tcPr>
          <w:p>
            <w:r>
              <w:rPr>
                <w:rFonts w:ascii="Aptos" w:hAnsi="Aptos"/>
                <w:b/>
                <w:color w:val="FFFFFF"/>
                <w:sz w:val="16"/>
              </w:rPr>
              <w:t>Throughput (tx/s)</w:t>
            </w:r>
          </w:p>
        </w:tc>
        <w:tc>
          <w:tcPr>
            <w:tcW w:type="dxa" w:w="1008"/>
            <w:shd w:fill="17365D"/>
          </w:tcPr>
          <w:p>
            <w:r>
              <w:rPr>
                <w:rFonts w:ascii="Aptos" w:hAnsi="Aptos"/>
                <w:b/>
                <w:color w:val="FFFFFF"/>
                <w:sz w:val="16"/>
              </w:rPr>
              <w:t>Errors</w:t>
            </w:r>
          </w:p>
        </w:tc>
      </w:tr>
      <w:tr>
        <w:tc>
          <w:tcPr>
            <w:tcW w:type="dxa" w:w="792"/>
            <w:vAlign w:val="center"/>
          </w:tcPr>
          <w:p>
            <w:pPr>
              <w:spacing w:after="20"/>
            </w:pPr>
            <w:r>
              <w:rPr>
                <w:rFonts w:ascii="Aptos" w:hAnsi="Aptos"/>
                <w:sz w:val="16"/>
              </w:rPr>
              <w:t>10</w:t>
            </w:r>
          </w:p>
        </w:tc>
        <w:tc>
          <w:tcPr>
            <w:tcW w:type="dxa" w:w="1512"/>
            <w:vAlign w:val="center"/>
          </w:tcPr>
          <w:p>
            <w:pPr>
              <w:spacing w:after="20"/>
            </w:pPr>
            <w:r>
              <w:rPr>
                <w:rFonts w:ascii="Aptos" w:hAnsi="Aptos"/>
                <w:sz w:val="16"/>
              </w:rPr>
              <w:t>5,490</w:t>
            </w:r>
          </w:p>
        </w:tc>
        <w:tc>
          <w:tcPr>
            <w:tcW w:type="dxa" w:w="1080"/>
            <w:vAlign w:val="center"/>
          </w:tcPr>
          <w:p>
            <w:pPr>
              <w:spacing w:after="20"/>
            </w:pPr>
            <w:r>
              <w:rPr>
                <w:rFonts w:ascii="Aptos" w:hAnsi="Aptos"/>
                <w:sz w:val="16"/>
              </w:rPr>
              <w:t>260</w:t>
            </w:r>
          </w:p>
        </w:tc>
        <w:tc>
          <w:tcPr>
            <w:tcW w:type="dxa" w:w="1008"/>
            <w:vAlign w:val="center"/>
          </w:tcPr>
          <w:p>
            <w:pPr>
              <w:spacing w:after="20"/>
            </w:pPr>
            <w:r>
              <w:rPr>
                <w:rFonts w:ascii="Aptos" w:hAnsi="Aptos"/>
                <w:sz w:val="16"/>
              </w:rPr>
              <w:t>220</w:t>
            </w:r>
          </w:p>
        </w:tc>
        <w:tc>
          <w:tcPr>
            <w:tcW w:type="dxa" w:w="1008"/>
            <w:vAlign w:val="center"/>
          </w:tcPr>
          <w:p>
            <w:pPr>
              <w:spacing w:after="20"/>
            </w:pPr>
            <w:r>
              <w:rPr>
                <w:rFonts w:ascii="Aptos" w:hAnsi="Aptos"/>
                <w:sz w:val="16"/>
              </w:rPr>
              <w:t>420</w:t>
            </w:r>
          </w:p>
        </w:tc>
        <w:tc>
          <w:tcPr>
            <w:tcW w:type="dxa" w:w="1008"/>
            <w:vAlign w:val="center"/>
          </w:tcPr>
          <w:p>
            <w:pPr>
              <w:spacing w:after="20"/>
            </w:pPr>
            <w:r>
              <w:rPr>
                <w:rFonts w:ascii="Aptos" w:hAnsi="Aptos"/>
                <w:sz w:val="16"/>
              </w:rPr>
              <w:t>630</w:t>
            </w:r>
          </w:p>
        </w:tc>
        <w:tc>
          <w:tcPr>
            <w:tcW w:type="dxa" w:w="1656"/>
            <w:vAlign w:val="center"/>
          </w:tcPr>
          <w:p>
            <w:pPr>
              <w:spacing w:after="20"/>
            </w:pPr>
            <w:r>
              <w:rPr>
                <w:rFonts w:ascii="Aptos" w:hAnsi="Aptos"/>
                <w:sz w:val="16"/>
              </w:rPr>
              <w:t>18.3</w:t>
            </w:r>
          </w:p>
        </w:tc>
        <w:tc>
          <w:tcPr>
            <w:tcW w:type="dxa" w:w="1008"/>
            <w:vAlign w:val="center"/>
          </w:tcPr>
          <w:p>
            <w:pPr>
              <w:spacing w:after="20"/>
            </w:pPr>
            <w:r>
              <w:rPr>
                <w:rFonts w:ascii="Aptos" w:hAnsi="Aptos"/>
                <w:sz w:val="16"/>
              </w:rPr>
              <w:t>0.2%</w:t>
            </w:r>
          </w:p>
        </w:tc>
      </w:tr>
      <w:tr>
        <w:tc>
          <w:tcPr>
            <w:tcW w:type="dxa" w:w="792"/>
            <w:vAlign w:val="center"/>
            <w:shd w:fill="EEF3F8"/>
          </w:tcPr>
          <w:p>
            <w:pPr>
              <w:spacing w:after="20"/>
            </w:pPr>
            <w:r>
              <w:rPr>
                <w:rFonts w:ascii="Aptos" w:hAnsi="Aptos"/>
                <w:sz w:val="16"/>
              </w:rPr>
              <w:t>50</w:t>
            </w:r>
          </w:p>
        </w:tc>
        <w:tc>
          <w:tcPr>
            <w:tcW w:type="dxa" w:w="1512"/>
            <w:vAlign w:val="center"/>
            <w:shd w:fill="EEF3F8"/>
          </w:tcPr>
          <w:p>
            <w:pPr>
              <w:spacing w:after="20"/>
            </w:pPr>
            <w:r>
              <w:rPr>
                <w:rFonts w:ascii="Aptos" w:hAnsi="Aptos"/>
                <w:sz w:val="16"/>
              </w:rPr>
              <w:t>19,260</w:t>
            </w:r>
          </w:p>
        </w:tc>
        <w:tc>
          <w:tcPr>
            <w:tcW w:type="dxa" w:w="1080"/>
            <w:vAlign w:val="center"/>
            <w:shd w:fill="EEF3F8"/>
          </w:tcPr>
          <w:p>
            <w:pPr>
              <w:spacing w:after="20"/>
            </w:pPr>
            <w:r>
              <w:rPr>
                <w:rFonts w:ascii="Aptos" w:hAnsi="Aptos"/>
                <w:sz w:val="16"/>
              </w:rPr>
              <w:t>610</w:t>
            </w:r>
          </w:p>
        </w:tc>
        <w:tc>
          <w:tcPr>
            <w:tcW w:type="dxa" w:w="1008"/>
            <w:vAlign w:val="center"/>
            <w:shd w:fill="EEF3F8"/>
          </w:tcPr>
          <w:p>
            <w:pPr>
              <w:spacing w:after="20"/>
            </w:pPr>
            <w:r>
              <w:rPr>
                <w:rFonts w:ascii="Aptos" w:hAnsi="Aptos"/>
                <w:sz w:val="16"/>
              </w:rPr>
              <w:t>430</w:t>
            </w:r>
          </w:p>
        </w:tc>
        <w:tc>
          <w:tcPr>
            <w:tcW w:type="dxa" w:w="1008"/>
            <w:vAlign w:val="center"/>
            <w:shd w:fill="EEF3F8"/>
          </w:tcPr>
          <w:p>
            <w:pPr>
              <w:spacing w:after="20"/>
            </w:pPr>
            <w:r>
              <w:rPr>
                <w:rFonts w:ascii="Aptos" w:hAnsi="Aptos"/>
                <w:sz w:val="16"/>
              </w:rPr>
              <w:t>980</w:t>
            </w:r>
          </w:p>
        </w:tc>
        <w:tc>
          <w:tcPr>
            <w:tcW w:type="dxa" w:w="1008"/>
            <w:vAlign w:val="center"/>
            <w:shd w:fill="EEF3F8"/>
          </w:tcPr>
          <w:p>
            <w:pPr>
              <w:spacing w:after="20"/>
            </w:pPr>
            <w:r>
              <w:rPr>
                <w:rFonts w:ascii="Aptos" w:hAnsi="Aptos"/>
                <w:sz w:val="16"/>
              </w:rPr>
              <w:t>1,720</w:t>
            </w:r>
          </w:p>
        </w:tc>
        <w:tc>
          <w:tcPr>
            <w:tcW w:type="dxa" w:w="1656"/>
            <w:vAlign w:val="center"/>
            <w:shd w:fill="EEF3F8"/>
          </w:tcPr>
          <w:p>
            <w:pPr>
              <w:spacing w:after="20"/>
            </w:pPr>
            <w:r>
              <w:rPr>
                <w:rFonts w:ascii="Aptos" w:hAnsi="Aptos"/>
                <w:sz w:val="16"/>
              </w:rPr>
              <w:t>64.2</w:t>
            </w:r>
          </w:p>
        </w:tc>
        <w:tc>
          <w:tcPr>
            <w:tcW w:type="dxa" w:w="1008"/>
            <w:vAlign w:val="center"/>
            <w:shd w:fill="EEF3F8"/>
          </w:tcPr>
          <w:p>
            <w:pPr>
              <w:spacing w:after="20"/>
            </w:pPr>
            <w:r>
              <w:rPr>
                <w:rFonts w:ascii="Aptos" w:hAnsi="Aptos"/>
                <w:sz w:val="16"/>
              </w:rPr>
              <w:t>1.4%</w:t>
            </w:r>
          </w:p>
        </w:tc>
      </w:tr>
      <w:tr>
        <w:tc>
          <w:tcPr>
            <w:tcW w:type="dxa" w:w="792"/>
            <w:vAlign w:val="center"/>
          </w:tcPr>
          <w:p>
            <w:pPr>
              <w:spacing w:after="20"/>
            </w:pPr>
            <w:r>
              <w:rPr>
                <w:rFonts w:ascii="Aptos" w:hAnsi="Aptos"/>
                <w:sz w:val="16"/>
              </w:rPr>
              <w:t>100</w:t>
            </w:r>
          </w:p>
        </w:tc>
        <w:tc>
          <w:tcPr>
            <w:tcW w:type="dxa" w:w="1512"/>
            <w:vAlign w:val="center"/>
          </w:tcPr>
          <w:p>
            <w:pPr>
              <w:spacing w:after="20"/>
            </w:pPr>
            <w:r>
              <w:rPr>
                <w:rFonts w:ascii="Aptos" w:hAnsi="Aptos"/>
                <w:sz w:val="16"/>
              </w:rPr>
              <w:t>21,780</w:t>
            </w:r>
          </w:p>
        </w:tc>
        <w:tc>
          <w:tcPr>
            <w:tcW w:type="dxa" w:w="1080"/>
            <w:vAlign w:val="center"/>
          </w:tcPr>
          <w:p>
            <w:pPr>
              <w:spacing w:after="20"/>
            </w:pPr>
            <w:r>
              <w:rPr>
                <w:rFonts w:ascii="Aptos" w:hAnsi="Aptos"/>
                <w:sz w:val="16"/>
              </w:rPr>
              <w:t>1,980</w:t>
            </w:r>
          </w:p>
        </w:tc>
        <w:tc>
          <w:tcPr>
            <w:tcW w:type="dxa" w:w="1008"/>
            <w:vAlign w:val="center"/>
          </w:tcPr>
          <w:p>
            <w:pPr>
              <w:spacing w:after="20"/>
            </w:pPr>
            <w:r>
              <w:rPr>
                <w:rFonts w:ascii="Aptos" w:hAnsi="Aptos"/>
                <w:sz w:val="16"/>
              </w:rPr>
              <w:t>1,150</w:t>
            </w:r>
          </w:p>
        </w:tc>
        <w:tc>
          <w:tcPr>
            <w:tcW w:type="dxa" w:w="1008"/>
            <w:vAlign w:val="center"/>
          </w:tcPr>
          <w:p>
            <w:pPr>
              <w:spacing w:after="20"/>
            </w:pPr>
            <w:r>
              <w:rPr>
                <w:rFonts w:ascii="Aptos" w:hAnsi="Aptos"/>
                <w:sz w:val="16"/>
              </w:rPr>
              <w:t>3,250</w:t>
            </w:r>
          </w:p>
        </w:tc>
        <w:tc>
          <w:tcPr>
            <w:tcW w:type="dxa" w:w="1008"/>
            <w:vAlign w:val="center"/>
          </w:tcPr>
          <w:p>
            <w:pPr>
              <w:spacing w:after="20"/>
            </w:pPr>
            <w:r>
              <w:rPr>
                <w:rFonts w:ascii="Aptos" w:hAnsi="Aptos"/>
                <w:sz w:val="16"/>
              </w:rPr>
              <w:t>7,900</w:t>
            </w:r>
          </w:p>
        </w:tc>
        <w:tc>
          <w:tcPr>
            <w:tcW w:type="dxa" w:w="1656"/>
            <w:vAlign w:val="center"/>
          </w:tcPr>
          <w:p>
            <w:pPr>
              <w:spacing w:after="20"/>
            </w:pPr>
            <w:r>
              <w:rPr>
                <w:rFonts w:ascii="Aptos" w:hAnsi="Aptos"/>
                <w:sz w:val="16"/>
              </w:rPr>
              <w:t>72.6</w:t>
            </w:r>
          </w:p>
        </w:tc>
        <w:tc>
          <w:tcPr>
            <w:tcW w:type="dxa" w:w="1008"/>
            <w:vAlign w:val="center"/>
          </w:tcPr>
          <w:p>
            <w:pPr>
              <w:spacing w:after="20"/>
            </w:pPr>
            <w:r>
              <w:rPr>
                <w:rFonts w:ascii="Aptos" w:hAnsi="Aptos"/>
                <w:sz w:val="16"/>
              </w:rPr>
              <w:t>8.8%</w:t>
            </w:r>
          </w:p>
        </w:tc>
      </w:tr>
    </w:tbl>
    <w:p>
      <w:pPr>
        <w:spacing w:after="0"/>
      </w:pPr>
    </w:p>
    <w:p>
      <w:pPr>
        <w:jc w:val="center"/>
      </w:pPr>
      <w:r>
        <w:drawing>
          <wp:inline xmlns:a="http://schemas.openxmlformats.org/drawingml/2006/main" xmlns:pic="http://schemas.openxmlformats.org/drawingml/2006/picture">
            <wp:extent cx="6263640" cy="3131820"/>
            <wp:docPr id="1" name="Picture 1"/>
            <wp:cNvGraphicFramePr>
              <a:graphicFrameLocks noChangeAspect="1"/>
            </wp:cNvGraphicFramePr>
            <a:graphic>
              <a:graphicData uri="http://schemas.openxmlformats.org/drawingml/2006/picture">
                <pic:pic>
                  <pic:nvPicPr>
                    <pic:cNvPr id="0" name="response_p95.png"/>
                    <pic:cNvPicPr/>
                  </pic:nvPicPr>
                  <pic:blipFill>
                    <a:blip r:embed="rId9"/>
                    <a:stretch>
                      <a:fillRect/>
                    </a:stretch>
                  </pic:blipFill>
                  <pic:spPr>
                    <a:xfrm>
                      <a:off x="0" y="0"/>
                      <a:ext cx="6263640" cy="3131820"/>
                    </a:xfrm>
                    <a:prstGeom prst="rect"/>
                  </pic:spPr>
                </pic:pic>
              </a:graphicData>
            </a:graphic>
          </wp:inline>
        </w:drawing>
      </w:r>
    </w:p>
    <w:p>
      <w:pPr>
        <w:jc w:val="center"/>
      </w:pPr>
      <w:r>
        <w:rPr>
          <w:i/>
          <w:color w:val="5A646E"/>
          <w:sz w:val="16"/>
        </w:rPr>
        <w:t>Synthetic p95 response-time profile. Values are modeled for training and are not observations.</w:t>
      </w:r>
    </w:p>
    <w:p>
      <w:pPr>
        <w:jc w:val="center"/>
      </w:pPr>
      <w:r>
        <w:drawing>
          <wp:inline xmlns:a="http://schemas.openxmlformats.org/drawingml/2006/main" xmlns:pic="http://schemas.openxmlformats.org/drawingml/2006/picture">
            <wp:extent cx="6263640" cy="3131820"/>
            <wp:docPr id="2" name="Picture 2"/>
            <wp:cNvGraphicFramePr>
              <a:graphicFrameLocks noChangeAspect="1"/>
            </wp:cNvGraphicFramePr>
            <a:graphic>
              <a:graphicData uri="http://schemas.openxmlformats.org/drawingml/2006/picture">
                <pic:pic>
                  <pic:nvPicPr>
                    <pic:cNvPr id="0" name="throughput.png"/>
                    <pic:cNvPicPr/>
                  </pic:nvPicPr>
                  <pic:blipFill>
                    <a:blip r:embed="rId10"/>
                    <a:stretch>
                      <a:fillRect/>
                    </a:stretch>
                  </pic:blipFill>
                  <pic:spPr>
                    <a:xfrm>
                      <a:off x="0" y="0"/>
                      <a:ext cx="6263640" cy="3131820"/>
                    </a:xfrm>
                    <a:prstGeom prst="rect"/>
                  </pic:spPr>
                </pic:pic>
              </a:graphicData>
            </a:graphic>
          </wp:inline>
        </w:drawing>
      </w:r>
    </w:p>
    <w:p>
      <w:pPr>
        <w:jc w:val="center"/>
      </w:pPr>
      <w:r>
        <w:rPr>
          <w:i/>
          <w:color w:val="5A646E"/>
          <w:sz w:val="16"/>
        </w:rPr>
        <w:t>Synthetic completed throughput. The flattening trend at higher concurrency is illustrative.</w:t>
      </w:r>
    </w:p>
    <w:p>
      <w:pPr>
        <w:jc w:val="center"/>
      </w:pPr>
      <w:r>
        <w:drawing>
          <wp:inline xmlns:a="http://schemas.openxmlformats.org/drawingml/2006/main" xmlns:pic="http://schemas.openxmlformats.org/drawingml/2006/picture">
            <wp:extent cx="6263640" cy="3131820"/>
            <wp:docPr id="3" name="Picture 3"/>
            <wp:cNvGraphicFramePr>
              <a:graphicFrameLocks noChangeAspect="1"/>
            </wp:cNvGraphicFramePr>
            <a:graphic>
              <a:graphicData uri="http://schemas.openxmlformats.org/drawingml/2006/picture">
                <pic:pic>
                  <pic:nvPicPr>
                    <pic:cNvPr id="0" name="errors.png"/>
                    <pic:cNvPicPr/>
                  </pic:nvPicPr>
                  <pic:blipFill>
                    <a:blip r:embed="rId11"/>
                    <a:stretch>
                      <a:fillRect/>
                    </a:stretch>
                  </pic:blipFill>
                  <pic:spPr>
                    <a:xfrm>
                      <a:off x="0" y="0"/>
                      <a:ext cx="6263640" cy="3131820"/>
                    </a:xfrm>
                    <a:prstGeom prst="rect"/>
                  </pic:spPr>
                </pic:pic>
              </a:graphicData>
            </a:graphic>
          </wp:inline>
        </w:drawing>
      </w:r>
    </w:p>
    <w:p>
      <w:pPr>
        <w:jc w:val="center"/>
      </w:pPr>
      <w:r>
        <w:rPr>
          <w:i/>
          <w:color w:val="5A646E"/>
          <w:sz w:val="16"/>
        </w:rPr>
        <w:t>Synthetic error-rate profile compared with the proposed 1% threshold at expected load.</w:t>
      </w:r>
    </w:p>
    <w:p>
      <w:pPr>
        <w:pStyle w:val="Heading1"/>
      </w:pPr>
      <w:r>
        <w:t>8. Analysis and interpretation</w:t>
      </w:r>
    </w:p>
    <w:p>
      <w:pPr>
        <w:pStyle w:val="Heading2"/>
      </w:pPr>
      <w:r>
        <w:t>10-user baseline</w:t>
      </w:r>
    </w:p>
    <w:p>
      <w:r>
        <w:t>The illustrative 10-user case has low latency (p95 420 ms), low error rate (0.2%), and 18.3 transactions/second. It acts as a baseline for comparing load profiles. It does not prove correctness or actual baseline capacity.</w:t>
      </w:r>
    </w:p>
    <w:p>
      <w:pPr>
        <w:pStyle w:val="Heading2"/>
      </w:pPr>
      <w:r>
        <w:t>50-user expected load</w:t>
      </w:r>
    </w:p>
    <w:p>
      <w:r>
        <w:t>The synthetic p95 value of 980 ms is within the 2-second target, and 64.2 transactions/second exceeds the 60 transactions/second target. The 1.4% error rate exceeds the 1% gate, so this profile does not meet all proposed acceptance criteria. A real run should group errors by endpoint, HTTP status, and application response, then correlate their timestamps with database and service telemetry.</w:t>
      </w:r>
    </w:p>
    <w:p>
      <w:pPr>
        <w:pStyle w:val="Heading2"/>
      </w:pPr>
      <w:r>
        <w:t>100-user stress profile</w:t>
      </w:r>
    </w:p>
    <w:p>
      <w:r>
        <w:t>At 100 users, synthetic p95 latency rises to 3.25 seconds and the error rate to 8.8%. Throughput increases only from 64.2 to 72.6 transactions/second despite doubling concurrency. This pattern is consistent with a possible saturation point, queueing, connection-pool constraint, database contention, or test-data contention. These are diagnostic hypotheses only; this chart cannot identify the actual bottleneck.</w:t>
      </w:r>
    </w:p>
    <w:p>
      <w:pPr>
        <w:pStyle w:val="Heading2"/>
      </w:pPr>
      <w:r>
        <w:t>Acceptance decision for the modeled figures</w:t>
      </w:r>
    </w:p>
    <w:p>
      <w:r>
        <w:t>The 50-user profile is a modeled FAIL because its error rate exceeds the proposed maximum, even though p95 latency and throughput meet their targets. The 100-user stress profile is a modeled FAIL because latency and error rate exceed limits. The 10-user baseline is a modeled PASS against the same numerical thresholds, but it does not satisfy the planned expected-load capacity objective. None of these modeled decisions should be represented as a production test result.</w:t>
      </w:r>
    </w:p>
    <w:p>
      <w:pPr>
        <w:pStyle w:val="Heading1"/>
      </w:pPr>
      <w:r>
        <w:t>9. Improvement areas to investigate</w:t>
      </w:r>
    </w:p>
    <w:p>
      <w:pPr>
        <w:pStyle w:val="ListBullet"/>
        <w:spacing w:after="40"/>
      </w:pPr>
      <w:r>
        <w:t>Inspect endpoint-level errors and application logs first; distinguish server failures, validation responses, timeouts, and load-generator faults.</w:t>
      </w:r>
    </w:p>
    <w:p>
      <w:pPr>
        <w:pStyle w:val="ListBullet"/>
        <w:spacing w:after="40"/>
      </w:pPr>
      <w:r>
        <w:t>Correlate latency with CPU, memory, garbage collection, database query plans and locks, connection-pool wait time, cache hit rate, and queue depth.</w:t>
      </w:r>
    </w:p>
    <w:p>
      <w:pPr>
        <w:pStyle w:val="ListBullet"/>
        <w:spacing w:after="40"/>
      </w:pPr>
      <w:r>
        <w:t>Review expensive student-search queries; validate indexes, pagination, query shape, and response payload size using representative synthetic data.</w:t>
      </w:r>
    </w:p>
    <w:p>
      <w:pPr>
        <w:pStyle w:val="ListBullet"/>
        <w:spacing w:after="40"/>
      </w:pPr>
      <w:r>
        <w:t>Check connection and thread pool sizing, database limits, downstream service timeouts, and bounded queue behavior.</w:t>
      </w:r>
    </w:p>
    <w:p>
      <w:pPr>
        <w:pStyle w:val="ListBullet"/>
        <w:spacing w:after="40"/>
      </w:pPr>
      <w:r>
        <w:t>Consider caching stable dashboard/profile data where correctness and privacy permit; verify cache invalidation and per-user isolation.</w:t>
      </w:r>
    </w:p>
    <w:p>
      <w:pPr>
        <w:pStyle w:val="ListBullet"/>
        <w:spacing w:after="40"/>
      </w:pPr>
      <w:r>
        <w:t>Repeat tests after each targeted change using the same workload, dataset scale, environment, and JMeter configuration; compare percentiles and error classes rather than averages alone.</w:t>
      </w:r>
    </w:p>
    <w:p>
      <w:pPr>
        <w:pStyle w:val="Heading1"/>
      </w:pPr>
      <w:r>
        <w:t>10. Risks, limitations, and exit conditions</w:t>
      </w:r>
    </w:p>
    <w:tbl>
      <w:tblPr>
        <w:tblStyle w:val="TableGrid"/>
        <w:tblW w:type="auto" w:w="0"/>
        <w:jc w:val="center"/>
        <w:tblLook w:firstColumn="1" w:firstRow="1" w:lastColumn="0" w:lastRow="0" w:noHBand="0" w:noVBand="1" w:val="04A0"/>
      </w:tblPr>
      <w:tblGrid>
        <w:gridCol w:w="4997"/>
        <w:gridCol w:w="4997"/>
      </w:tblGrid>
      <w:tr>
        <w:tc>
          <w:tcPr>
            <w:tcW w:type="dxa" w:w="3312"/>
            <w:shd w:fill="17365D"/>
          </w:tcPr>
          <w:p>
            <w:r>
              <w:rPr>
                <w:rFonts w:ascii="Aptos" w:hAnsi="Aptos"/>
                <w:b/>
                <w:color w:val="FFFFFF"/>
                <w:sz w:val="16"/>
              </w:rPr>
              <w:t>Risk / limitation</w:t>
            </w:r>
          </w:p>
        </w:tc>
        <w:tc>
          <w:tcPr>
            <w:tcW w:type="dxa" w:w="7128"/>
            <w:shd w:fill="17365D"/>
          </w:tcPr>
          <w:p>
            <w:r>
              <w:rPr>
                <w:rFonts w:ascii="Aptos" w:hAnsi="Aptos"/>
                <w:b/>
                <w:color w:val="FFFFFF"/>
                <w:sz w:val="16"/>
              </w:rPr>
              <w:t>Mitigation or exit condition</w:t>
            </w:r>
          </w:p>
        </w:tc>
      </w:tr>
      <w:tr>
        <w:tc>
          <w:tcPr>
            <w:tcW w:type="dxa" w:w="3312"/>
            <w:vAlign w:val="center"/>
          </w:tcPr>
          <w:p>
            <w:pPr>
              <w:spacing w:after="20"/>
            </w:pPr>
            <w:r>
              <w:rPr>
                <w:rFonts w:ascii="Aptos" w:hAnsi="Aptos"/>
                <w:sz w:val="16"/>
              </w:rPr>
              <w:t>No live application was provided</w:t>
            </w:r>
          </w:p>
        </w:tc>
        <w:tc>
          <w:tcPr>
            <w:tcW w:type="dxa" w:w="7128"/>
            <w:vAlign w:val="center"/>
          </w:tcPr>
          <w:p>
            <w:pPr>
              <w:spacing w:after="20"/>
            </w:pPr>
            <w:r>
              <w:rPr>
                <w:rFonts w:ascii="Aptos" w:hAnsi="Aptos"/>
                <w:sz w:val="16"/>
              </w:rPr>
              <w:t>Do not claim measured execution; replace synthetic results with approved JMeter run evidence when available.</w:t>
            </w:r>
          </w:p>
        </w:tc>
      </w:tr>
      <w:tr>
        <w:tc>
          <w:tcPr>
            <w:tcW w:type="dxa" w:w="3312"/>
            <w:vAlign w:val="center"/>
            <w:shd w:fill="EEF3F8"/>
          </w:tcPr>
          <w:p>
            <w:pPr>
              <w:spacing w:after="20"/>
            </w:pPr>
            <w:r>
              <w:rPr>
                <w:rFonts w:ascii="Aptos" w:hAnsi="Aptos"/>
                <w:sz w:val="16"/>
              </w:rPr>
              <w:t>Load generator distorts results</w:t>
            </w:r>
          </w:p>
        </w:tc>
        <w:tc>
          <w:tcPr>
            <w:tcW w:type="dxa" w:w="7128"/>
            <w:vAlign w:val="center"/>
            <w:shd w:fill="EEF3F8"/>
          </w:tcPr>
          <w:p>
            <w:pPr>
              <w:spacing w:after="20"/>
            </w:pPr>
            <w:r>
              <w:rPr>
                <w:rFonts w:ascii="Aptos" w:hAnsi="Aptos"/>
                <w:sz w:val="16"/>
              </w:rPr>
              <w:t>Monitor generator CPU/memory/network and validate it has headroom; scale load generation if required.</w:t>
            </w:r>
          </w:p>
        </w:tc>
      </w:tr>
      <w:tr>
        <w:tc>
          <w:tcPr>
            <w:tcW w:type="dxa" w:w="3312"/>
            <w:vAlign w:val="center"/>
          </w:tcPr>
          <w:p>
            <w:pPr>
              <w:spacing w:after="20"/>
            </w:pPr>
            <w:r>
              <w:rPr>
                <w:rFonts w:ascii="Aptos" w:hAnsi="Aptos"/>
                <w:sz w:val="16"/>
              </w:rPr>
              <w:t>Unrepresentative mix or data volume</w:t>
            </w:r>
          </w:p>
        </w:tc>
        <w:tc>
          <w:tcPr>
            <w:tcW w:type="dxa" w:w="7128"/>
            <w:vAlign w:val="center"/>
          </w:tcPr>
          <w:p>
            <w:pPr>
              <w:spacing w:after="20"/>
            </w:pPr>
            <w:r>
              <w:rPr>
                <w:rFonts w:ascii="Aptos" w:hAnsi="Aptos"/>
                <w:sz w:val="16"/>
              </w:rPr>
              <w:t>Agree workload proportions and dataset size with product owner; record exact test inputs.</w:t>
            </w:r>
          </w:p>
        </w:tc>
      </w:tr>
      <w:tr>
        <w:tc>
          <w:tcPr>
            <w:tcW w:type="dxa" w:w="3312"/>
            <w:vAlign w:val="center"/>
            <w:shd w:fill="EEF3F8"/>
          </w:tcPr>
          <w:p>
            <w:pPr>
              <w:spacing w:after="20"/>
            </w:pPr>
            <w:r>
              <w:rPr>
                <w:rFonts w:ascii="Aptos" w:hAnsi="Aptos"/>
                <w:sz w:val="16"/>
              </w:rPr>
              <w:t>Unauthorized or disruptive traffic</w:t>
            </w:r>
          </w:p>
        </w:tc>
        <w:tc>
          <w:tcPr>
            <w:tcW w:type="dxa" w:w="7128"/>
            <w:vAlign w:val="center"/>
            <w:shd w:fill="EEF3F8"/>
          </w:tcPr>
          <w:p>
            <w:pPr>
              <w:spacing w:after="20"/>
            </w:pPr>
            <w:r>
              <w:rPr>
                <w:rFonts w:ascii="Aptos" w:hAnsi="Aptos"/>
                <w:sz w:val="16"/>
              </w:rPr>
              <w:t>Written approval and isolated staging target required; define abort threshold and contact before running.</w:t>
            </w:r>
          </w:p>
        </w:tc>
      </w:tr>
      <w:tr>
        <w:tc>
          <w:tcPr>
            <w:tcW w:type="dxa" w:w="3312"/>
            <w:vAlign w:val="center"/>
          </w:tcPr>
          <w:p>
            <w:pPr>
              <w:spacing w:after="20"/>
            </w:pPr>
            <w:r>
              <w:rPr>
                <w:rFonts w:ascii="Aptos" w:hAnsi="Aptos"/>
                <w:sz w:val="16"/>
              </w:rPr>
              <w:t>Synthetic data masks realistic bottlenecks</w:t>
            </w:r>
          </w:p>
        </w:tc>
        <w:tc>
          <w:tcPr>
            <w:tcW w:type="dxa" w:w="7128"/>
            <w:vAlign w:val="center"/>
          </w:tcPr>
          <w:p>
            <w:pPr>
              <w:spacing w:after="20"/>
            </w:pPr>
            <w:r>
              <w:rPr>
                <w:rFonts w:ascii="Aptos" w:hAnsi="Aptos"/>
                <w:sz w:val="16"/>
              </w:rPr>
              <w:t>Use realistic but privacy-safe dataset sizes and indexes in a controlled environment.</w:t>
            </w:r>
          </w:p>
        </w:tc>
      </w:tr>
      <w:tr>
        <w:tc>
          <w:tcPr>
            <w:tcW w:type="dxa" w:w="3312"/>
            <w:vAlign w:val="center"/>
            <w:shd w:fill="EEF3F8"/>
          </w:tcPr>
          <w:p>
            <w:pPr>
              <w:spacing w:after="20"/>
            </w:pPr>
            <w:r>
              <w:rPr>
                <w:rFonts w:ascii="Aptos" w:hAnsi="Aptos"/>
                <w:sz w:val="16"/>
              </w:rPr>
              <w:t>Pass/fail criteria not signed off</w:t>
            </w:r>
          </w:p>
        </w:tc>
        <w:tc>
          <w:tcPr>
            <w:tcW w:type="dxa" w:w="7128"/>
            <w:vAlign w:val="center"/>
            <w:shd w:fill="EEF3F8"/>
          </w:tcPr>
          <w:p>
            <w:pPr>
              <w:spacing w:after="20"/>
            </w:pPr>
            <w:r>
              <w:rPr>
                <w:rFonts w:ascii="Aptos" w:hAnsi="Aptos"/>
                <w:sz w:val="16"/>
              </w:rPr>
              <w:t>Review proposed thresholds with stakeholders before treating them as release gates.</w:t>
            </w:r>
          </w:p>
        </w:tc>
      </w:tr>
    </w:tbl>
    <w:p>
      <w:pPr>
        <w:spacing w:after="0"/>
      </w:pPr>
    </w:p>
    <w:p>
      <w:r>
        <w:t>A real performance test may exit when all planned profiles complete, required results and telemetry are saved, no uncontrolled service impact remains, test data is cleaned up, and each threshold has a documented pass/fail decision. Any unresolved test-environment or measurement-integrity issue should be recorded before conclusions are accepted.</w:t>
      </w:r>
    </w:p>
    <w:p>
      <w:pPr>
        <w:pStyle w:val="Heading1"/>
      </w:pPr>
      <w:r>
        <w:t>Conclusion</w:t>
      </w:r>
    </w:p>
    <w:p>
      <w:r>
        <w:t>This report supplies a practical JMeter workload design, proposed service thresholds, execution controls, a synthetic results table, charts, and a reasoned interpretation of a hypothetical load trend. The modeled figures show why both tail latency and error rate matter and why throughput can flatten as concurrency increases. They are provided only to demonstrate analysis technique. A valid statement about the Online Student Management Portal’s performance requires an authorized run against a real test environment with synchronized client and server evidence.</w:t>
      </w:r>
    </w:p>
    <w:p>
      <w:pPr>
        <w:pStyle w:val="Heading1"/>
      </w:pPr>
      <w:r>
        <w:t>References</w:t>
      </w:r>
    </w:p>
    <w:p>
      <w:r>
        <w:t>[1] Apache Software Foundation, Apache JMeter User Manual, “Elements of a Test Plan” and “Building a Web Test Plan.” https://jmeter.apache.org/usermanual/test_plan.html ; https://jmeter.apache.org/usermanual/build-web-test-plan.html</w:t>
      </w:r>
    </w:p>
    <w:p>
      <w:r>
        <w:t>[2] Apache Software Foundation, Apache JMeter User Manual, “Getting Started” and “Best Practices.” https://jmeter.apache.org/usermanual/get-started.html ; https://jmeter.apache.org/usermanual/best-practices.html</w:t>
      </w:r>
    </w:p>
    <w:p>
      <w:r>
        <w:t>Accessed 6 September 2026. JMeter guidance recommends non-GUI mode for load execution and limiting listeners to reduce load-generator overhead.</w:t>
      </w:r>
    </w:p>
    <w:sectPr w:rsidR="00FC693F" w:rsidRPr="0006063C" w:rsidSect="00034616">
      <w:footerReference w:type="default" r:id="rId12"/>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46E78"/>
        <w:sz w:val="16"/>
      </w:rPr>
      <w:t>Week 4 Performance Testing Report  |  Online Student Management Portal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6303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2F55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Performance Testing and Analysis Report</dc:title>
  <dc:subject>JMeter performance test plan with explicitly simulated results</dc:subject>
  <dc:creator>Junior Quality Assurance Analyst</dc:creator>
  <cp:keywords/>
  <dc:description>generated by python-docx</dc:description>
  <cp:lastModifiedBy/>
  <cp:revision>1</cp:revision>
  <dcterms:created xsi:type="dcterms:W3CDTF">2013-12-23T23:15:00Z</dcterms:created>
  <dcterms:modified xsi:type="dcterms:W3CDTF">2013-12-23T23:15:00Z</dcterms:modified>
  <cp:category/>
</cp:coreProperties>
</file>