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jc w:val="center"/>
      </w:pPr>
      <w:r>
        <w:rPr>
          <w:rFonts w:ascii="Arial" w:cs="Arial" w:eastAsia="Arial" w:hAnsi="Arial"/>
          <w:b/>
          <w:bCs/>
          <w:color w:val="C0392B"/>
          <w:sz w:val="64"/>
          <w:szCs w:val="64"/>
        </w:rPr>
        <w:t xml:space="preserve">ZOMATO RESTAURANT</w:t>
      </w:r>
    </w:p>
    <w:p>
      <w:pPr>
        <w:jc w:val="center"/>
      </w:pPr>
      <w:r>
        <w:rPr>
          <w:rFonts w:ascii="Arial" w:cs="Arial" w:eastAsia="Arial" w:hAnsi="Arial"/>
          <w:b/>
          <w:bCs/>
          <w:color w:val="1A1A1A"/>
          <w:sz w:val="48"/>
          <w:szCs w:val="48"/>
        </w:rPr>
        <w:t xml:space="preserve">DATA VISUALIZATION &amp; ANALYSIS</w:t>
      </w:r>
    </w:p>
    <w:p>
      <w:pPr>
        <w:spacing w:after="0" w:before="80"/>
      </w:pPr>
    </w:p>
    <w:p>
      <w:pPr>
        <w:pBdr>
          <w:bottom w:val="single" w:color="C0392B" w:sz="8" w:space="4"/>
        </w:pBdr>
        <w:jc w:val="center"/>
      </w:pPr>
      <w:r>
        <w:rPr>
          <w:rFonts w:ascii="Arial" w:cs="Arial" w:eastAsia="Arial" w:hAnsi="Arial"/>
          <w:i/>
          <w:iCs/>
          <w:color w:val="444444"/>
          <w:sz w:val="24"/>
          <w:szCs w:val="24"/>
        </w:rPr>
        <w:t xml:space="preserve">A Capstone Project Report</w:t>
      </w:r>
    </w:p>
    <w:p>
      <w:pPr>
        <w:spacing w:after="0" w:before="80"/>
      </w:pPr>
    </w:p>
    <w:p>
      <w:pPr>
        <w:jc w:val="center"/>
      </w:pPr>
      <w:r>
        <w:rPr>
          <w:rFonts w:ascii="Arial" w:cs="Arial" w:eastAsia="Arial" w:hAnsi="Arial"/>
          <w:color w:val="444444"/>
          <w:sz w:val="20"/>
          <w:szCs w:val="20"/>
        </w:rPr>
        <w:t xml:space="preserve">End-to-End ETL Pipeline  |  Exploratory Data Analysis  |  Tableau Dashboard</w:t>
      </w:r>
    </w:p>
    <w:p>
      <w:pPr>
        <w:spacing w:after="0" w:before="4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Sector</w:t>
            </w:r>
          </w:p>
        </w:tc>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1A1A1A"/>
                <w:sz w:val="18"/>
                <w:szCs w:val="18"/>
              </w:rPr>
              <w:t xml:space="preserve">Food Technology / Restaurant Analytics</w:t>
            </w:r>
          </w:p>
        </w:tc>
      </w:tr>
      <w:tr>
        <w:tc>
          <w:tcPr>
            <w:tcW w:type="dxa" w:w="2200"/>
            <w:tcBorders>
              <w:top w:val="single" w:color="C0392B" w:sz="4"/>
              <w:left w:val="single" w:color="C0392B" w:sz="4"/>
              <w:bottom w:val="single" w:color="C0392B" w:sz="4"/>
              <w:right w:val="single" w:color="C0392B" w:sz="4"/>
            </w:tcBorders>
            <w:shd w:fill="A93226" w:val="clear"/>
            <w:tcMar>
              <w:top w:type="dxa" w:w="80"/>
              <w:left w:type="dxa" w:w="120"/>
              <w:bottom w:type="dxa" w:w="80"/>
              <w:right w:type="dxa" w:w="120"/>
            </w:tcMar>
          </w:tcPr>
          <w:p>
            <w:r>
              <w:rPr>
                <w:rFonts w:ascii="Arial" w:cs="Arial" w:eastAsia="Arial" w:hAnsi="Arial"/>
                <w:b/>
                <w:bCs/>
                <w:color w:val="FFFFFF"/>
                <w:sz w:val="18"/>
                <w:szCs w:val="18"/>
              </w:rPr>
              <w:t xml:space="preserve">Team Members</w:t>
            </w:r>
          </w:p>
        </w:tc>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1A1A1A"/>
                <w:sz w:val="18"/>
                <w:szCs w:val="18"/>
              </w:rPr>
              <w:t xml:space="preserve">Nishtha Gupta, Adil Mirza, Tanish Rao, Tejas Tyagi, Kaustubh Hiwanj, Krishiv Gupta</w:t>
            </w:r>
          </w:p>
        </w:tc>
      </w:tr>
      <w:tr>
        <w:tc>
          <w:tcPr>
            <w:tcW w:type="dxa" w:w="22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Institute</w:t>
            </w:r>
          </w:p>
        </w:tc>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1A1A1A"/>
                <w:sz w:val="18"/>
                <w:szCs w:val="18"/>
              </w:rPr>
              <w:t xml:space="preserve">Newton School of Technology, Rishihood University</w:t>
            </w:r>
          </w:p>
        </w:tc>
      </w:tr>
      <w:tr>
        <w:tc>
          <w:tcPr>
            <w:tcW w:type="dxa" w:w="2200"/>
            <w:tcBorders>
              <w:top w:val="single" w:color="C0392B" w:sz="4"/>
              <w:left w:val="single" w:color="C0392B" w:sz="4"/>
              <w:bottom w:val="single" w:color="C0392B" w:sz="4"/>
              <w:right w:val="single" w:color="C0392B" w:sz="4"/>
            </w:tcBorders>
            <w:shd w:fill="A93226" w:val="clear"/>
            <w:tcMar>
              <w:top w:type="dxa" w:w="80"/>
              <w:left w:type="dxa" w:w="120"/>
              <w:bottom w:type="dxa" w:w="80"/>
              <w:right w:type="dxa" w:w="120"/>
            </w:tcMar>
          </w:tcPr>
          <w:p>
            <w:r>
              <w:rPr>
                <w:rFonts w:ascii="Arial" w:cs="Arial" w:eastAsia="Arial" w:hAnsi="Arial"/>
                <w:b/>
                <w:bCs/>
                <w:color w:val="FFFFFF"/>
                <w:sz w:val="18"/>
                <w:szCs w:val="18"/>
              </w:rPr>
              <w:t xml:space="preserve">Course</w:t>
            </w:r>
          </w:p>
        </w:tc>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1A1A1A"/>
                <w:sz w:val="18"/>
                <w:szCs w:val="18"/>
              </w:rPr>
              <w:t xml:space="preserve">Data Visualization &amp; Analytics (DVA Capstone 2)</w:t>
            </w:r>
          </w:p>
        </w:tc>
      </w:tr>
      <w:tr>
        <w:tc>
          <w:tcPr>
            <w:tcW w:type="dxa" w:w="22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GitHub</w:t>
            </w:r>
          </w:p>
        </w:tc>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1A1A1A"/>
                <w:sz w:val="18"/>
                <w:szCs w:val="18"/>
              </w:rPr>
              <w:t xml:space="preserve">github.com/Kaustubh0505/C_G15_dvaCapstone</w:t>
            </w:r>
          </w:p>
        </w:tc>
      </w:tr>
      <w:tr>
        <w:tc>
          <w:tcPr>
            <w:tcW w:type="dxa" w:w="2200"/>
            <w:tcBorders>
              <w:top w:val="single" w:color="C0392B" w:sz="4"/>
              <w:left w:val="single" w:color="C0392B" w:sz="4"/>
              <w:bottom w:val="single" w:color="C0392B" w:sz="4"/>
              <w:right w:val="single" w:color="C0392B" w:sz="4"/>
            </w:tcBorders>
            <w:shd w:fill="A93226" w:val="clear"/>
            <w:tcMar>
              <w:top w:type="dxa" w:w="80"/>
              <w:left w:type="dxa" w:w="120"/>
              <w:bottom w:type="dxa" w:w="80"/>
              <w:right w:type="dxa" w:w="120"/>
            </w:tcMar>
          </w:tcPr>
          <w:p>
            <w:r>
              <w:rPr>
                <w:rFonts w:ascii="Arial" w:cs="Arial" w:eastAsia="Arial" w:hAnsi="Arial"/>
                <w:b/>
                <w:bCs/>
                <w:color w:val="FFFFFF"/>
                <w:sz w:val="18"/>
                <w:szCs w:val="18"/>
              </w:rPr>
              <w:t xml:space="preserve">Submission Date</w:t>
            </w:r>
          </w:p>
        </w:tc>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1A1A1A"/>
                <w:sz w:val="18"/>
                <w:szCs w:val="18"/>
              </w:rPr>
              <w:t xml:space="preserve">April 2025</w:t>
            </w:r>
          </w:p>
        </w:tc>
      </w:tr>
    </w:tbl>
    <w:p>
      <w:r>
        <w:br w:type="page"/>
      </w:r>
    </w:p>
    <w:p>
      <w:pPr>
        <w:pStyle w:val="Heading1"/>
        <w:pBdr>
          <w:bottom w:val="single" w:color="C0392B" w:sz="6" w:space="4"/>
        </w:pBdr>
        <w:spacing w:after="120" w:before="320"/>
      </w:pPr>
      <w:r>
        <w:rPr>
          <w:rFonts w:ascii="Arial" w:cs="Arial" w:eastAsia="Arial" w:hAnsi="Arial"/>
          <w:b/>
          <w:bCs/>
          <w:color w:val="C0392B"/>
          <w:sz w:val="32"/>
          <w:szCs w:val="32"/>
        </w:rPr>
        <w:t xml:space="preserve">1. Executive Summary</w:t>
      </w:r>
    </w:p>
    <w:p>
      <w:pPr>
        <w:pStyle w:val="Heading2"/>
        <w:spacing w:after="80" w:before="240"/>
      </w:pPr>
      <w:r>
        <w:rPr>
          <w:rFonts w:ascii="Arial" w:cs="Arial" w:eastAsia="Arial" w:hAnsi="Arial"/>
          <w:b/>
          <w:bCs/>
          <w:color w:val="1A1A1A"/>
          <w:sz w:val="26"/>
          <w:szCs w:val="26"/>
        </w:rPr>
        <w:t xml:space="preserve">Problem</w:t>
      </w:r>
    </w:p>
    <w:p>
      <w:pPr>
        <w:spacing w:after="60" w:before="60"/>
        <w:jc w:val="both"/>
      </w:pPr>
      <w:r>
        <w:rPr>
          <w:rFonts w:ascii="Arial" w:cs="Arial" w:eastAsia="Arial" w:hAnsi="Arial"/>
          <w:color w:val="1A1A1A"/>
          <w:sz w:val="20"/>
          <w:szCs w:val="20"/>
        </w:rPr>
        <w:t xml:space="preserve">The food technology sector generates vast amounts of restaurant data, yet most restaurant owners and platform operators lack structured tools to interpret patterns in ratings, pricing, location performance, and service adoption. This project addressed the challenge of transforming raw, unstructured Zomato listing data into clear, decision-ready intelligence for restaurant owners, aggregators, and investors operating in the Bengaluru market.</w:t>
      </w:r>
    </w:p>
    <w:p>
      <w:pPr>
        <w:pStyle w:val="Heading2"/>
        <w:spacing w:after="80" w:before="240"/>
      </w:pPr>
      <w:r>
        <w:rPr>
          <w:rFonts w:ascii="Arial" w:cs="Arial" w:eastAsia="Arial" w:hAnsi="Arial"/>
          <w:b/>
          <w:bCs/>
          <w:color w:val="1A1A1A"/>
          <w:sz w:val="26"/>
          <w:szCs w:val="26"/>
        </w:rPr>
        <w:t xml:space="preserve">Approach</w:t>
      </w:r>
    </w:p>
    <w:p>
      <w:pPr>
        <w:spacing w:after="60" w:before="60"/>
        <w:jc w:val="both"/>
      </w:pPr>
      <w:r>
        <w:rPr>
          <w:rFonts w:ascii="Arial" w:cs="Arial" w:eastAsia="Arial" w:hAnsi="Arial"/>
          <w:color w:val="1A1A1A"/>
          <w:sz w:val="20"/>
          <w:szCs w:val="20"/>
        </w:rPr>
        <w:t xml:space="preserve">The dataset — sourced from Kaggle — comprised 51,717 restaurant records across 17 columns. An automated Python ETL pipeline was designed and implemented to extract, clean, and transform the raw data into 11 analysis-ready columns with zero missing values. Exploratory Data Analysis was then performed in Jupyter Notebooks using Pandas, Matplotlib, and Seaborn. A three-page interactive Tableau dashboard was built to communicate findings visually.</w:t>
      </w:r>
    </w:p>
    <w:p>
      <w:pPr>
        <w:pStyle w:val="Heading2"/>
        <w:spacing w:after="80" w:before="240"/>
      </w:pPr>
      <w:r>
        <w:rPr>
          <w:rFonts w:ascii="Arial" w:cs="Arial" w:eastAsia="Arial" w:hAnsi="Arial"/>
          <w:b/>
          <w:bCs/>
          <w:color w:val="1A1A1A"/>
          <w:sz w:val="26"/>
          <w:szCs w:val="26"/>
        </w:rPr>
        <w:t xml:space="preserve">Key Insights</w:t>
      </w:r>
    </w:p>
    <w:p>
      <w:pPr>
        <w:pStyle w:val="ListParagraph"/>
        <w:numPr>
          <w:ilvl w:val="0"/>
          <w:numId w:val="2"/>
        </w:numPr>
        <w:spacing w:after="40" w:before="40"/>
      </w:pPr>
      <w:r>
        <w:rPr>
          <w:rFonts w:ascii="Arial" w:cs="Arial" w:eastAsia="Arial" w:hAnsi="Arial"/>
          <w:color w:val="1A1A1A"/>
          <w:sz w:val="20"/>
          <w:szCs w:val="20"/>
        </w:rPr>
        <w:t xml:space="preserve">Most Bengaluru restaurants rate between 3.6 and 4.0; scores below 3.0 are rare, reflecting Zomato's quality curation.</w:t>
      </w:r>
    </w:p>
    <w:p>
      <w:pPr>
        <w:pStyle w:val="ListParagraph"/>
        <w:numPr>
          <w:ilvl w:val="0"/>
          <w:numId w:val="2"/>
        </w:numPr>
        <w:spacing w:after="40" w:before="40"/>
      </w:pPr>
      <w:r>
        <w:rPr>
          <w:rFonts w:ascii="Arial" w:cs="Arial" w:eastAsia="Arial" w:hAnsi="Arial"/>
          <w:color w:val="1A1A1A"/>
          <w:sz w:val="20"/>
          <w:szCs w:val="20"/>
        </w:rPr>
        <w:t xml:space="preserve">65.3% of restaurants support online ordering, indicating strong digital adoption across the platform.</w:t>
      </w:r>
    </w:p>
    <w:p>
      <w:pPr>
        <w:pStyle w:val="ListParagraph"/>
        <w:numPr>
          <w:ilvl w:val="0"/>
          <w:numId w:val="2"/>
        </w:numPr>
        <w:spacing w:after="40" w:before="40"/>
      </w:pPr>
      <w:r>
        <w:rPr>
          <w:rFonts w:ascii="Arial" w:cs="Arial" w:eastAsia="Arial" w:hAnsi="Arial"/>
          <w:color w:val="1A1A1A"/>
          <w:sz w:val="20"/>
          <w:szCs w:val="20"/>
        </w:rPr>
        <w:t xml:space="preserve">Koramangala 5th Block leads in average rating (4.01) while BTM has the highest restaurant density but lower quality consistency.</w:t>
      </w:r>
    </w:p>
    <w:p>
      <w:pPr>
        <w:pStyle w:val="ListParagraph"/>
        <w:numPr>
          <w:ilvl w:val="0"/>
          <w:numId w:val="2"/>
        </w:numPr>
        <w:spacing w:after="40" w:before="40"/>
      </w:pPr>
      <w:r>
        <w:rPr>
          <w:rFonts w:ascii="Arial" w:cs="Arial" w:eastAsia="Arial" w:hAnsi="Arial"/>
          <w:color w:val="1A1A1A"/>
          <w:sz w:val="20"/>
          <w:szCs w:val="20"/>
        </w:rPr>
        <w:t xml:space="preserve">Premium cuisines (Spanish, Modern Indian) attract disproportionately high ratings relative to volume.</w:t>
      </w:r>
    </w:p>
    <w:p>
      <w:pPr>
        <w:pStyle w:val="Heading2"/>
        <w:spacing w:after="80" w:before="240"/>
      </w:pPr>
      <w:r>
        <w:rPr>
          <w:rFonts w:ascii="Arial" w:cs="Arial" w:eastAsia="Arial" w:hAnsi="Arial"/>
          <w:b/>
          <w:bCs/>
          <w:color w:val="1A1A1A"/>
          <w:sz w:val="26"/>
          <w:szCs w:val="26"/>
        </w:rPr>
        <w:t xml:space="preserve">Key Recommendations</w:t>
      </w:r>
    </w:p>
    <w:p>
      <w:pPr>
        <w:pStyle w:val="ListParagraph"/>
        <w:numPr>
          <w:ilvl w:val="0"/>
          <w:numId w:val="2"/>
        </w:numPr>
        <w:spacing w:after="40" w:before="40"/>
      </w:pPr>
      <w:r>
        <w:rPr>
          <w:rFonts w:ascii="Arial" w:cs="Arial" w:eastAsia="Arial" w:hAnsi="Arial"/>
          <w:color w:val="1A1A1A"/>
          <w:sz w:val="20"/>
          <w:szCs w:val="20"/>
        </w:rPr>
        <w:t xml:space="preserve">Restaurant operators in high-density, lower-rated areas such as BTM should invest in service quality consistency and digital engagement to improve ratings.</w:t>
      </w:r>
    </w:p>
    <w:p>
      <w:pPr>
        <w:pStyle w:val="ListParagraph"/>
        <w:numPr>
          <w:ilvl w:val="0"/>
          <w:numId w:val="2"/>
        </w:numPr>
        <w:spacing w:after="40" w:before="40"/>
      </w:pPr>
      <w:r>
        <w:rPr>
          <w:rFonts w:ascii="Arial" w:cs="Arial" w:eastAsia="Arial" w:hAnsi="Arial"/>
          <w:color w:val="1A1A1A"/>
          <w:sz w:val="20"/>
          <w:szCs w:val="20"/>
        </w:rPr>
        <w:t xml:space="preserve">Zomato should target mid-range restaurants for table booking onboarding — only 15.1% currently offer this, representing significant untapped growth.</w:t>
      </w:r>
    </w:p>
    <w:p>
      <w:pPr>
        <w:pStyle w:val="ListParagraph"/>
        <w:numPr>
          <w:ilvl w:val="0"/>
          <w:numId w:val="2"/>
        </w:numPr>
        <w:spacing w:after="40" w:before="40"/>
      </w:pPr>
      <w:r>
        <w:rPr>
          <w:rFonts w:ascii="Arial" w:cs="Arial" w:eastAsia="Arial" w:hAnsi="Arial"/>
          <w:color w:val="1A1A1A"/>
          <w:sz w:val="20"/>
          <w:szCs w:val="20"/>
        </w:rPr>
        <w:t xml:space="preserve">Platforms should continue investing in delivery infrastructure as the 65% online ordering adoption signals strong, sustained consumer demand.</w:t>
      </w:r>
    </w:p>
    <w:p>
      <w:r>
        <w:br w:type="page"/>
      </w:r>
    </w:p>
    <w:p>
      <w:pPr>
        <w:pStyle w:val="Heading1"/>
        <w:pBdr>
          <w:bottom w:val="single" w:color="C0392B" w:sz="6" w:space="4"/>
        </w:pBdr>
        <w:spacing w:after="120" w:before="320"/>
      </w:pPr>
      <w:r>
        <w:rPr>
          <w:rFonts w:ascii="Arial" w:cs="Arial" w:eastAsia="Arial" w:hAnsi="Arial"/>
          <w:b/>
          <w:bCs/>
          <w:color w:val="C0392B"/>
          <w:sz w:val="32"/>
          <w:szCs w:val="32"/>
        </w:rPr>
        <w:t xml:space="preserve">2. Sector &amp; Business Context</w:t>
      </w:r>
    </w:p>
    <w:p>
      <w:pPr>
        <w:pStyle w:val="Heading2"/>
        <w:spacing w:after="80" w:before="240"/>
      </w:pPr>
      <w:r>
        <w:rPr>
          <w:rFonts w:ascii="Arial" w:cs="Arial" w:eastAsia="Arial" w:hAnsi="Arial"/>
          <w:b/>
          <w:bCs/>
          <w:color w:val="1A1A1A"/>
          <w:sz w:val="26"/>
          <w:szCs w:val="26"/>
        </w:rPr>
        <w:t xml:space="preserve">Sector Overview</w:t>
      </w:r>
    </w:p>
    <w:p>
      <w:pPr>
        <w:spacing w:after="60" w:before="60"/>
        <w:jc w:val="both"/>
      </w:pPr>
      <w:r>
        <w:rPr>
          <w:rFonts w:ascii="Arial" w:cs="Arial" w:eastAsia="Arial" w:hAnsi="Arial"/>
          <w:color w:val="1A1A1A"/>
          <w:sz w:val="20"/>
          <w:szCs w:val="20"/>
        </w:rPr>
        <w:t xml:space="preserve">The Indian food technology sector is one of the fastest-growing verticals in consumer tech. Platforms like Zomato and Swiggy have fundamentally transformed how urban Indians discover, evaluate, and order food. Bengaluru — a major metropolitan hub with a large tech-working population — is one of the most competitive restaurant markets in the country, with tens of thousands of listed establishments spanning diverse cuisine types, price points, and service models.</w:t>
      </w:r>
    </w:p>
    <w:p>
      <w:pPr>
        <w:pStyle w:val="Heading2"/>
        <w:spacing w:after="80" w:before="240"/>
      </w:pPr>
      <w:r>
        <w:rPr>
          <w:rFonts w:ascii="Arial" w:cs="Arial" w:eastAsia="Arial" w:hAnsi="Arial"/>
          <w:b/>
          <w:bCs/>
          <w:color w:val="1A1A1A"/>
          <w:sz w:val="26"/>
          <w:szCs w:val="26"/>
        </w:rPr>
        <w:t xml:space="preserve">Industry Challenges</w:t>
      </w:r>
    </w:p>
    <w:p>
      <w:pPr>
        <w:pStyle w:val="ListParagraph"/>
        <w:numPr>
          <w:ilvl w:val="0"/>
          <w:numId w:val="2"/>
        </w:numPr>
        <w:spacing w:after="40" w:before="40"/>
      </w:pPr>
      <w:r>
        <w:rPr>
          <w:rFonts w:ascii="Arial" w:cs="Arial" w:eastAsia="Arial" w:hAnsi="Arial"/>
          <w:color w:val="1A1A1A"/>
          <w:sz w:val="20"/>
          <w:szCs w:val="20"/>
        </w:rPr>
        <w:t xml:space="preserve">High restaurant churn rates due to intense competition and thin margins.</w:t>
      </w:r>
    </w:p>
    <w:p>
      <w:pPr>
        <w:pStyle w:val="ListParagraph"/>
        <w:numPr>
          <w:ilvl w:val="0"/>
          <w:numId w:val="2"/>
        </w:numPr>
        <w:spacing w:after="40" w:before="40"/>
      </w:pPr>
      <w:r>
        <w:rPr>
          <w:rFonts w:ascii="Arial" w:cs="Arial" w:eastAsia="Arial" w:hAnsi="Arial"/>
          <w:color w:val="1A1A1A"/>
          <w:sz w:val="20"/>
          <w:szCs w:val="20"/>
        </w:rPr>
        <w:t xml:space="preserve">Rating inflation and low signal-to-noise ratio in review data.</w:t>
      </w:r>
    </w:p>
    <w:p>
      <w:pPr>
        <w:pStyle w:val="ListParagraph"/>
        <w:numPr>
          <w:ilvl w:val="0"/>
          <w:numId w:val="2"/>
        </w:numPr>
        <w:spacing w:after="40" w:before="40"/>
      </w:pPr>
      <w:r>
        <w:rPr>
          <w:rFonts w:ascii="Arial" w:cs="Arial" w:eastAsia="Arial" w:hAnsi="Arial"/>
          <w:color w:val="1A1A1A"/>
          <w:sz w:val="20"/>
          <w:szCs w:val="20"/>
        </w:rPr>
        <w:t xml:space="preserve">Uneven digital adoption — while delivery is mainstream, table booking and other features remain underutilized.</w:t>
      </w:r>
    </w:p>
    <w:p>
      <w:pPr>
        <w:pStyle w:val="ListParagraph"/>
        <w:numPr>
          <w:ilvl w:val="0"/>
          <w:numId w:val="2"/>
        </w:numPr>
        <w:spacing w:after="40" w:before="40"/>
      </w:pPr>
      <w:r>
        <w:rPr>
          <w:rFonts w:ascii="Arial" w:cs="Arial" w:eastAsia="Arial" w:hAnsi="Arial"/>
          <w:color w:val="1A1A1A"/>
          <w:sz w:val="20"/>
          <w:szCs w:val="20"/>
        </w:rPr>
        <w:t xml:space="preserve">Difficulty in identifying which locations and cuisine types represent genuine growth opportunities versus saturated markets.</w:t>
      </w:r>
    </w:p>
    <w:p>
      <w:pPr>
        <w:pStyle w:val="Heading2"/>
        <w:spacing w:after="80" w:before="240"/>
      </w:pPr>
      <w:r>
        <w:rPr>
          <w:rFonts w:ascii="Arial" w:cs="Arial" w:eastAsia="Arial" w:hAnsi="Arial"/>
          <w:b/>
          <w:bCs/>
          <w:color w:val="1A1A1A"/>
          <w:sz w:val="26"/>
          <w:szCs w:val="26"/>
        </w:rPr>
        <w:t xml:space="preserve">Decision-Maker Served</w:t>
      </w:r>
    </w:p>
    <w:p>
      <w:pPr>
        <w:spacing w:after="60" w:before="60"/>
        <w:jc w:val="both"/>
      </w:pPr>
      <w:r>
        <w:rPr>
          <w:rFonts w:ascii="Arial" w:cs="Arial" w:eastAsia="Arial" w:hAnsi="Arial"/>
          <w:color w:val="1A1A1A"/>
          <w:sz w:val="20"/>
          <w:szCs w:val="20"/>
        </w:rPr>
        <w:t xml:space="preserve">This project serves three primary audiences: restaurant owners seeking competitive benchmarking, Zomato platform strategists prioritizing market development, and investors evaluating location and segment performance.</w:t>
      </w:r>
    </w:p>
    <w:p>
      <w:pPr>
        <w:pStyle w:val="Heading2"/>
        <w:spacing w:after="80" w:before="240"/>
      </w:pPr>
      <w:r>
        <w:rPr>
          <w:rFonts w:ascii="Arial" w:cs="Arial" w:eastAsia="Arial" w:hAnsi="Arial"/>
          <w:b/>
          <w:bCs/>
          <w:color w:val="1A1A1A"/>
          <w:sz w:val="26"/>
          <w:szCs w:val="26"/>
        </w:rPr>
        <w:t xml:space="preserve">Business Value</w:t>
      </w:r>
    </w:p>
    <w:p>
      <w:pPr>
        <w:spacing w:after="60" w:before="60"/>
        <w:jc w:val="both"/>
      </w:pPr>
      <w:r>
        <w:rPr>
          <w:rFonts w:ascii="Arial" w:cs="Arial" w:eastAsia="Arial" w:hAnsi="Arial"/>
          <w:color w:val="1A1A1A"/>
          <w:sz w:val="20"/>
          <w:szCs w:val="20"/>
        </w:rPr>
        <w:t xml:space="preserve">By surfacing patterns in ratings, pricing, service adoption, and locality performance, this analysis enables data-driven decisions that can reduce customer churn, improve service quality, and guide platform expansion — all of which translate directly into revenue growth and market share.</w:t>
      </w:r>
    </w:p>
    <w:p>
      <w:r>
        <w:br w:type="page"/>
      </w:r>
    </w:p>
    <w:p>
      <w:pPr>
        <w:pStyle w:val="Heading1"/>
        <w:pBdr>
          <w:bottom w:val="single" w:color="C0392B" w:sz="6" w:space="4"/>
        </w:pBdr>
        <w:spacing w:after="120" w:before="320"/>
      </w:pPr>
      <w:r>
        <w:rPr>
          <w:rFonts w:ascii="Arial" w:cs="Arial" w:eastAsia="Arial" w:hAnsi="Arial"/>
          <w:b/>
          <w:bCs/>
          <w:color w:val="C0392B"/>
          <w:sz w:val="32"/>
          <w:szCs w:val="32"/>
        </w:rPr>
        <w:t xml:space="preserve">3. Problem Statement &amp; Objectives</w:t>
      </w:r>
    </w:p>
    <w:p>
      <w:pPr>
        <w:pStyle w:val="Heading2"/>
        <w:spacing w:after="80" w:before="240"/>
      </w:pPr>
      <w:r>
        <w:rPr>
          <w:rFonts w:ascii="Arial" w:cs="Arial" w:eastAsia="Arial" w:hAnsi="Arial"/>
          <w:b/>
          <w:bCs/>
          <w:color w:val="1A1A1A"/>
          <w:sz w:val="26"/>
          <w:szCs w:val="26"/>
        </w:rPr>
        <w:t xml:space="preserve">Formal Problem Definition</w:t>
      </w:r>
    </w:p>
    <w:p>
      <w:pPr>
        <w:spacing w:after="60" w:before="60"/>
        <w:jc w:val="both"/>
      </w:pPr>
      <w:r>
        <w:rPr>
          <w:rFonts w:ascii="Arial" w:cs="Arial" w:eastAsia="Arial" w:hAnsi="Arial"/>
          <w:color w:val="1A1A1A"/>
          <w:sz w:val="20"/>
          <w:szCs w:val="20"/>
        </w:rPr>
        <w:t xml:space="preserve">How can Zomato's restaurant listing data for Bengaluru be systematically cleaned, analyzed, and visualized to surface actionable business intelligence on ratings, pricing, service adoption, and location performance?</w:t>
      </w:r>
    </w:p>
    <w:p>
      <w:pPr>
        <w:pStyle w:val="Heading2"/>
        <w:spacing w:after="80" w:before="240"/>
      </w:pPr>
      <w:r>
        <w:rPr>
          <w:rFonts w:ascii="Arial" w:cs="Arial" w:eastAsia="Arial" w:hAnsi="Arial"/>
          <w:b/>
          <w:bCs/>
          <w:color w:val="1A1A1A"/>
          <w:sz w:val="26"/>
          <w:szCs w:val="26"/>
        </w:rPr>
        <w:t xml:space="preserve">Project Scope</w:t>
      </w:r>
    </w:p>
    <w:p>
      <w:pPr>
        <w:pStyle w:val="ListParagraph"/>
        <w:numPr>
          <w:ilvl w:val="0"/>
          <w:numId w:val="2"/>
        </w:numPr>
        <w:spacing w:after="40" w:before="40"/>
      </w:pPr>
      <w:r>
        <w:rPr>
          <w:rFonts w:ascii="Arial" w:cs="Arial" w:eastAsia="Arial" w:hAnsi="Arial"/>
          <w:color w:val="1A1A1A"/>
          <w:sz w:val="20"/>
          <w:szCs w:val="20"/>
        </w:rPr>
        <w:t xml:space="preserve">In scope: ETL pipeline design, EDA, statistical analysis, Tableau dashboard, and business recommendations based on the Bengaluru Zomato dataset.</w:t>
      </w:r>
    </w:p>
    <w:p>
      <w:pPr>
        <w:pStyle w:val="ListParagraph"/>
        <w:numPr>
          <w:ilvl w:val="0"/>
          <w:numId w:val="2"/>
        </w:numPr>
        <w:spacing w:after="40" w:before="40"/>
      </w:pPr>
      <w:r>
        <w:rPr>
          <w:rFonts w:ascii="Arial" w:cs="Arial" w:eastAsia="Arial" w:hAnsi="Arial"/>
          <w:color w:val="1A1A1A"/>
          <w:sz w:val="20"/>
          <w:szCs w:val="20"/>
        </w:rPr>
        <w:t xml:space="preserve">Out of scope: Real-time data ingestion, predictive modelling, and cross-city comparisons beyond Bengaluru.</w:t>
      </w:r>
    </w:p>
    <w:p>
      <w:pPr>
        <w:pStyle w:val="Heading2"/>
        <w:spacing w:after="80" w:before="240"/>
      </w:pPr>
      <w:r>
        <w:rPr>
          <w:rFonts w:ascii="Arial" w:cs="Arial" w:eastAsia="Arial" w:hAnsi="Arial"/>
          <w:b/>
          <w:bCs/>
          <w:color w:val="1A1A1A"/>
          <w:sz w:val="26"/>
          <w:szCs w:val="26"/>
        </w:rPr>
        <w:t xml:space="preserve">Objectives</w:t>
      </w:r>
    </w:p>
    <w:p>
      <w:pPr>
        <w:pStyle w:val="ListParagraph"/>
        <w:numPr>
          <w:ilvl w:val="0"/>
          <w:numId w:val="2"/>
        </w:numPr>
        <w:spacing w:after="40" w:before="40"/>
      </w:pPr>
      <w:r>
        <w:rPr>
          <w:rFonts w:ascii="Arial" w:cs="Arial" w:eastAsia="Arial" w:hAnsi="Arial"/>
          <w:color w:val="1A1A1A"/>
          <w:sz w:val="20"/>
          <w:szCs w:val="20"/>
        </w:rPr>
        <w:t xml:space="preserve">Design and implement a fully automated ETL pipeline to extract, clean, and load Zomato restaurant data.</w:t>
      </w:r>
    </w:p>
    <w:p>
      <w:pPr>
        <w:pStyle w:val="ListParagraph"/>
        <w:numPr>
          <w:ilvl w:val="0"/>
          <w:numId w:val="2"/>
        </w:numPr>
        <w:spacing w:after="40" w:before="40"/>
      </w:pPr>
      <w:r>
        <w:rPr>
          <w:rFonts w:ascii="Arial" w:cs="Arial" w:eastAsia="Arial" w:hAnsi="Arial"/>
          <w:color w:val="1A1A1A"/>
          <w:sz w:val="20"/>
          <w:szCs w:val="20"/>
        </w:rPr>
        <w:t xml:space="preserve">Perform EDA to understand data distributions, relationships, and anomalies.</w:t>
      </w:r>
    </w:p>
    <w:p>
      <w:pPr>
        <w:pStyle w:val="ListParagraph"/>
        <w:numPr>
          <w:ilvl w:val="0"/>
          <w:numId w:val="2"/>
        </w:numPr>
        <w:spacing w:after="40" w:before="40"/>
      </w:pPr>
      <w:r>
        <w:rPr>
          <w:rFonts w:ascii="Arial" w:cs="Arial" w:eastAsia="Arial" w:hAnsi="Arial"/>
          <w:color w:val="1A1A1A"/>
          <w:sz w:val="20"/>
          <w:szCs w:val="20"/>
        </w:rPr>
        <w:t xml:space="preserve">Identify key business metrics: top-rated restaurants, popular cuisines, price trends, and service adoption.</w:t>
      </w:r>
    </w:p>
    <w:p>
      <w:pPr>
        <w:pStyle w:val="ListParagraph"/>
        <w:numPr>
          <w:ilvl w:val="0"/>
          <w:numId w:val="2"/>
        </w:numPr>
        <w:spacing w:after="40" w:before="40"/>
      </w:pPr>
      <w:r>
        <w:rPr>
          <w:rFonts w:ascii="Arial" w:cs="Arial" w:eastAsia="Arial" w:hAnsi="Arial"/>
          <w:color w:val="1A1A1A"/>
          <w:sz w:val="20"/>
          <w:szCs w:val="20"/>
        </w:rPr>
        <w:t xml:space="preserve">Build an interactive Tableau dashboard to present insights visually.</w:t>
      </w:r>
    </w:p>
    <w:p>
      <w:pPr>
        <w:pStyle w:val="ListParagraph"/>
        <w:numPr>
          <w:ilvl w:val="0"/>
          <w:numId w:val="2"/>
        </w:numPr>
        <w:spacing w:after="40" w:before="40"/>
      </w:pPr>
      <w:r>
        <w:rPr>
          <w:rFonts w:ascii="Arial" w:cs="Arial" w:eastAsia="Arial" w:hAnsi="Arial"/>
          <w:color w:val="1A1A1A"/>
          <w:sz w:val="20"/>
          <w:szCs w:val="20"/>
        </w:rPr>
        <w:t xml:space="preserve">Derive actionable insights for restaurant owners, food aggregators, and investors.</w:t>
      </w:r>
    </w:p>
    <w:p>
      <w:pPr>
        <w:pStyle w:val="Heading2"/>
        <w:spacing w:after="80" w:before="240"/>
      </w:pPr>
      <w:r>
        <w:rPr>
          <w:rFonts w:ascii="Arial" w:cs="Arial" w:eastAsia="Arial" w:hAnsi="Arial"/>
          <w:b/>
          <w:bCs/>
          <w:color w:val="1A1A1A"/>
          <w:sz w:val="26"/>
          <w:szCs w:val="26"/>
        </w:rPr>
        <w:t xml:space="preserve">Success Criteria</w:t>
      </w:r>
    </w:p>
    <w:p>
      <w:pPr>
        <w:pStyle w:val="ListParagraph"/>
        <w:numPr>
          <w:ilvl w:val="0"/>
          <w:numId w:val="2"/>
        </w:numPr>
        <w:spacing w:after="40" w:before="40"/>
      </w:pPr>
      <w:r>
        <w:rPr>
          <w:rFonts w:ascii="Arial" w:cs="Arial" w:eastAsia="Arial" w:hAnsi="Arial"/>
          <w:color w:val="1A1A1A"/>
          <w:sz w:val="20"/>
          <w:szCs w:val="20"/>
        </w:rPr>
        <w:t xml:space="preserve">ETL pipeline produces a clean dataset with zero missing values, ready for analysis.</w:t>
      </w:r>
    </w:p>
    <w:p>
      <w:pPr>
        <w:pStyle w:val="ListParagraph"/>
        <w:numPr>
          <w:ilvl w:val="0"/>
          <w:numId w:val="2"/>
        </w:numPr>
        <w:spacing w:after="40" w:before="40"/>
      </w:pPr>
      <w:r>
        <w:rPr>
          <w:rFonts w:ascii="Arial" w:cs="Arial" w:eastAsia="Arial" w:hAnsi="Arial"/>
          <w:color w:val="1A1A1A"/>
          <w:sz w:val="20"/>
          <w:szCs w:val="20"/>
        </w:rPr>
        <w:t xml:space="preserve">EDA surfaces at least 8 distinct, actionable insights.</w:t>
      </w:r>
    </w:p>
    <w:p>
      <w:pPr>
        <w:pStyle w:val="ListParagraph"/>
        <w:numPr>
          <w:ilvl w:val="0"/>
          <w:numId w:val="2"/>
        </w:numPr>
        <w:spacing w:after="40" w:before="40"/>
      </w:pPr>
      <w:r>
        <w:rPr>
          <w:rFonts w:ascii="Arial" w:cs="Arial" w:eastAsia="Arial" w:hAnsi="Arial"/>
          <w:color w:val="1A1A1A"/>
          <w:sz w:val="20"/>
          <w:szCs w:val="20"/>
        </w:rPr>
        <w:t xml:space="preserve">Tableau dashboard is publicly accessible and supports drill-down exploration.</w:t>
      </w:r>
    </w:p>
    <w:p>
      <w:r>
        <w:br w:type="page"/>
      </w:r>
    </w:p>
    <w:p>
      <w:pPr>
        <w:pStyle w:val="Heading1"/>
        <w:pBdr>
          <w:bottom w:val="single" w:color="C0392B" w:sz="6" w:space="4"/>
        </w:pBdr>
        <w:spacing w:after="120" w:before="320"/>
      </w:pPr>
      <w:r>
        <w:rPr>
          <w:rFonts w:ascii="Arial" w:cs="Arial" w:eastAsia="Arial" w:hAnsi="Arial"/>
          <w:b/>
          <w:bCs/>
          <w:color w:val="C0392B"/>
          <w:sz w:val="32"/>
          <w:szCs w:val="32"/>
        </w:rPr>
        <w:t xml:space="preserve">4. Data Description</w:t>
      </w:r>
    </w:p>
    <w:p>
      <w:pPr>
        <w:pStyle w:val="Heading2"/>
        <w:spacing w:after="80" w:before="240"/>
      </w:pPr>
      <w:r>
        <w:rPr>
          <w:rFonts w:ascii="Arial" w:cs="Arial" w:eastAsia="Arial" w:hAnsi="Arial"/>
          <w:b/>
          <w:bCs/>
          <w:color w:val="1A1A1A"/>
          <w:sz w:val="26"/>
          <w:szCs w:val="26"/>
        </w:rPr>
        <w:t xml:space="preserve">4.1 Source &amp; Access</w:t>
      </w:r>
    </w:p>
    <w:p>
      <w:pPr>
        <w:spacing w:after="60" w:before="60"/>
        <w:jc w:val="both"/>
      </w:pPr>
      <w:r>
        <w:rPr>
          <w:rFonts w:ascii="Arial" w:cs="Arial" w:eastAsia="Arial" w:hAnsi="Arial"/>
          <w:color w:val="1A1A1A"/>
          <w:sz w:val="20"/>
          <w:szCs w:val="20"/>
        </w:rPr>
        <w:t xml:space="preserve">Dataset: Zomato Bangalore Restaurants</w:t>
      </w:r>
    </w:p>
    <w:p>
      <w:pPr>
        <w:spacing w:after="60" w:before="60"/>
        <w:jc w:val="both"/>
      </w:pPr>
      <w:r>
        <w:rPr>
          <w:rFonts w:ascii="Arial" w:cs="Arial" w:eastAsia="Arial" w:hAnsi="Arial"/>
          <w:color w:val="1A1A1A"/>
          <w:sz w:val="20"/>
          <w:szCs w:val="20"/>
        </w:rPr>
        <w:t xml:space="preserve">Source: Kaggle — https://www.kaggle.com/datasets/himanshupoddar/zomato-bangalore-restaurants</w:t>
      </w:r>
    </w:p>
    <w:p>
      <w:pPr>
        <w:spacing w:after="60" w:before="60"/>
        <w:jc w:val="both"/>
      </w:pPr>
      <w:r>
        <w:rPr>
          <w:rFonts w:ascii="Arial" w:cs="Arial" w:eastAsia="Arial" w:hAnsi="Arial"/>
          <w:color w:val="1A1A1A"/>
          <w:sz w:val="20"/>
          <w:szCs w:val="20"/>
        </w:rPr>
        <w:t xml:space="preserve">The dataset represents restaurants listed on Zomato in Bengaluru, India, containing 51,717 records across 17 columns.</w:t>
      </w:r>
    </w:p>
    <w:p>
      <w:pPr>
        <w:spacing w:after="0" w:before="80"/>
      </w:pPr>
    </w:p>
    <w:p>
      <w:pPr>
        <w:pStyle w:val="Heading2"/>
        <w:spacing w:after="80" w:before="240"/>
      </w:pPr>
      <w:r>
        <w:rPr>
          <w:rFonts w:ascii="Arial" w:cs="Arial" w:eastAsia="Arial" w:hAnsi="Arial"/>
          <w:b/>
          <w:bCs/>
          <w:color w:val="1A1A1A"/>
          <w:sz w:val="26"/>
          <w:szCs w:val="26"/>
        </w:rPr>
        <w:t xml:space="preserve">4.2 Raw Dataset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4"/>
              <w:left w:val="single" w:color="C0392B" w:sz="4"/>
              <w:bottom w:val="single" w:color="C0392B" w:sz="4"/>
              <w:right w:val="single" w:color="C0392B" w:sz="4"/>
            </w:tcBorders>
            <w:shd w:fill="C0392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51,717</w:t>
            </w:r>
          </w:p>
          <w:p>
            <w:pPr>
              <w:jc w:val="center"/>
            </w:pPr>
            <w:r>
              <w:rPr>
                <w:rFonts w:ascii="Arial" w:cs="Arial" w:eastAsia="Arial" w:hAnsi="Arial"/>
                <w:color w:val="FFFFFF"/>
                <w:sz w:val="16"/>
                <w:szCs w:val="16"/>
              </w:rPr>
              <w:t xml:space="preserve">Raw Records</w:t>
            </w:r>
          </w:p>
        </w:tc>
        <w:tc>
          <w:tcPr>
            <w:tcW w:type="dxa" w:w="2340"/>
            <w:tcBorders>
              <w:top w:val="single" w:color="C0392B" w:sz="4"/>
              <w:left w:val="single" w:color="C0392B" w:sz="4"/>
              <w:bottom w:val="single" w:color="C0392B" w:sz="4"/>
              <w:right w:val="single" w:color="C0392B" w:sz="4"/>
            </w:tcBorders>
            <w:shd w:fill="C0392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17</w:t>
            </w:r>
          </w:p>
          <w:p>
            <w:pPr>
              <w:jc w:val="center"/>
            </w:pPr>
            <w:r>
              <w:rPr>
                <w:rFonts w:ascii="Arial" w:cs="Arial" w:eastAsia="Arial" w:hAnsi="Arial"/>
                <w:color w:val="FFFFFF"/>
                <w:sz w:val="16"/>
                <w:szCs w:val="16"/>
              </w:rPr>
              <w:t xml:space="preserve">Raw Columns</w:t>
            </w:r>
          </w:p>
        </w:tc>
        <w:tc>
          <w:tcPr>
            <w:tcW w:type="dxa" w:w="2340"/>
            <w:tcBorders>
              <w:top w:val="single" w:color="C0392B" w:sz="4"/>
              <w:left w:val="single" w:color="C0392B" w:sz="4"/>
              <w:bottom w:val="single" w:color="C0392B" w:sz="4"/>
              <w:right w:val="single" w:color="C0392B" w:sz="4"/>
            </w:tcBorders>
            <w:shd w:fill="C0392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11</w:t>
            </w:r>
          </w:p>
          <w:p>
            <w:pPr>
              <w:jc w:val="center"/>
            </w:pPr>
            <w:r>
              <w:rPr>
                <w:rFonts w:ascii="Arial" w:cs="Arial" w:eastAsia="Arial" w:hAnsi="Arial"/>
                <w:color w:val="FFFFFF"/>
                <w:sz w:val="16"/>
                <w:szCs w:val="16"/>
              </w:rPr>
              <w:t xml:space="preserve">Final Columns</w:t>
            </w:r>
          </w:p>
        </w:tc>
        <w:tc>
          <w:tcPr>
            <w:tcW w:type="dxa" w:w="2340"/>
            <w:tcBorders>
              <w:top w:val="single" w:color="C0392B" w:sz="4"/>
              <w:left w:val="single" w:color="C0392B" w:sz="4"/>
              <w:bottom w:val="single" w:color="C0392B" w:sz="4"/>
              <w:right w:val="single" w:color="C0392B" w:sz="4"/>
            </w:tcBorders>
            <w:shd w:fill="C0392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~7,775</w:t>
            </w:r>
          </w:p>
          <w:p>
            <w:pPr>
              <w:jc w:val="center"/>
            </w:pPr>
            <w:r>
              <w:rPr>
                <w:rFonts w:ascii="Arial" w:cs="Arial" w:eastAsia="Arial" w:hAnsi="Arial"/>
                <w:color w:val="FFFFFF"/>
                <w:sz w:val="16"/>
                <w:szCs w:val="16"/>
              </w:rPr>
              <w:t xml:space="preserve">Missing Ratings</w:t>
            </w:r>
          </w:p>
        </w:tc>
      </w:tr>
    </w:tbl>
    <w:p>
      <w:pPr>
        <w:spacing w:after="0" w:before="120"/>
      </w:pPr>
    </w:p>
    <w:p>
      <w:pPr>
        <w:pStyle w:val="Heading2"/>
        <w:spacing w:after="80" w:before="240"/>
      </w:pPr>
      <w:r>
        <w:rPr>
          <w:rFonts w:ascii="Arial" w:cs="Arial" w:eastAsia="Arial" w:hAnsi="Arial"/>
          <w:b/>
          <w:bCs/>
          <w:color w:val="1A1A1A"/>
          <w:sz w:val="26"/>
          <w:szCs w:val="26"/>
        </w:rPr>
        <w:t xml:space="preserve">4.3 Final 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8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496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name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Restaurant name for identification</w:t>
            </w:r>
          </w:p>
        </w:tc>
      </w:tr>
      <w:tr>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online_order</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Integer (0/1)</w:t>
            </w:r>
          </w:p>
        </w:tc>
        <w:tc>
          <w:tcPr>
            <w:tcW w:type="dxa" w:w="49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Whether online ordering is available</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book_table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Integer (0/1)</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Whether table booking is available</w:t>
            </w:r>
          </w:p>
        </w:tc>
      </w:tr>
      <w:tr>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rate</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Float</w:t>
            </w:r>
          </w:p>
        </w:tc>
        <w:tc>
          <w:tcPr>
            <w:tcW w:type="dxa" w:w="49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Average customer rating out of 5.0</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votes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Integer</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Total number of customer votes/reviews</w:t>
            </w:r>
          </w:p>
        </w:tc>
      </w:tr>
      <w:tr>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location</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W w:type="dxa" w:w="49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Area/neighbourhood of the restaurant</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rest_type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Type of restaurant (e.g., Casual Dining, Cafe)</w:t>
            </w:r>
          </w:p>
        </w:tc>
      </w:tr>
      <w:tr>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cuisines</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W w:type="dxa" w:w="49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Primary cuisine served</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approx_cost_for_two</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Float</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Approximate cost (INR) for two people</w:t>
            </w:r>
          </w:p>
        </w:tc>
      </w:tr>
      <w:tr>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listed_in_type</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W w:type="dxa" w:w="49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Listing category (e.g., Buffet, Delivery)</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listed_in_city</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String</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Broader city-level geographic grouping</w:t>
            </w:r>
          </w:p>
        </w:tc>
      </w:tr>
    </w:tbl>
    <w:p>
      <w:pPr>
        <w:spacing w:after="0" w:before="120"/>
      </w:pPr>
    </w:p>
    <w:p>
      <w:pPr>
        <w:pStyle w:val="Heading2"/>
        <w:spacing w:after="80" w:before="240"/>
      </w:pPr>
      <w:r>
        <w:rPr>
          <w:rFonts w:ascii="Arial" w:cs="Arial" w:eastAsia="Arial" w:hAnsi="Arial"/>
          <w:b/>
          <w:bCs/>
          <w:color w:val="1A1A1A"/>
          <w:sz w:val="26"/>
          <w:szCs w:val="26"/>
        </w:rPr>
        <w:t xml:space="preserve">4.4 Data Quality Notes</w:t>
      </w:r>
    </w:p>
    <w:p>
      <w:pPr>
        <w:pStyle w:val="ListParagraph"/>
        <w:numPr>
          <w:ilvl w:val="0"/>
          <w:numId w:val="2"/>
        </w:numPr>
        <w:spacing w:after="40" w:before="40"/>
      </w:pPr>
      <w:r>
        <w:rPr>
          <w:rFonts w:ascii="Arial" w:cs="Arial" w:eastAsia="Arial" w:hAnsi="Arial"/>
          <w:color w:val="1A1A1A"/>
          <w:sz w:val="20"/>
          <w:szCs w:val="20"/>
        </w:rPr>
        <w:t xml:space="preserve">Columns removed: url, phone, address, reviews_list, menu_item, dish_liked — not required for analysis.</w:t>
      </w:r>
    </w:p>
    <w:p>
      <w:pPr>
        <w:pStyle w:val="ListParagraph"/>
        <w:numPr>
          <w:ilvl w:val="0"/>
          <w:numId w:val="2"/>
        </w:numPr>
        <w:spacing w:after="40" w:before="40"/>
      </w:pPr>
      <w:r>
        <w:rPr>
          <w:rFonts w:ascii="Arial" w:cs="Arial" w:eastAsia="Arial" w:hAnsi="Arial"/>
          <w:color w:val="1A1A1A"/>
          <w:sz w:val="20"/>
          <w:szCs w:val="20"/>
        </w:rPr>
        <w:t xml:space="preserve">The rate column contained non-numeric values ('NEW', '-') and inconsistent formatting ('/5' suffix).</w:t>
      </w:r>
    </w:p>
    <w:p>
      <w:pPr>
        <w:pStyle w:val="ListParagraph"/>
        <w:numPr>
          <w:ilvl w:val="0"/>
          <w:numId w:val="2"/>
        </w:numPr>
        <w:spacing w:after="40" w:before="40"/>
      </w:pPr>
      <w:r>
        <w:rPr>
          <w:rFonts w:ascii="Arial" w:cs="Arial" w:eastAsia="Arial" w:hAnsi="Arial"/>
          <w:color w:val="1A1A1A"/>
          <w:sz w:val="20"/>
          <w:szCs w:val="20"/>
        </w:rPr>
        <w:t xml:space="preserve">approx_cost(for two people) contained comma-separated strings which were converted to numeric.</w:t>
      </w:r>
    </w:p>
    <w:p>
      <w:pPr>
        <w:pStyle w:val="ListParagraph"/>
        <w:numPr>
          <w:ilvl w:val="0"/>
          <w:numId w:val="2"/>
        </w:numPr>
        <w:spacing w:after="40" w:before="40"/>
      </w:pPr>
      <w:r>
        <w:rPr>
          <w:rFonts w:ascii="Arial" w:cs="Arial" w:eastAsia="Arial" w:hAnsi="Arial"/>
          <w:color w:val="1A1A1A"/>
          <w:sz w:val="20"/>
          <w:szCs w:val="20"/>
        </w:rPr>
        <w:t xml:space="preserve">Missing values in rate (~7,775 entries) were imputed with the column mean (3.70) and tracked via a flag.</w:t>
      </w:r>
    </w:p>
    <w:p>
      <w:pPr>
        <w:pStyle w:val="ListParagraph"/>
        <w:numPr>
          <w:ilvl w:val="0"/>
          <w:numId w:val="2"/>
        </w:numPr>
        <w:spacing w:after="40" w:before="40"/>
      </w:pPr>
      <w:r>
        <w:rPr>
          <w:rFonts w:ascii="Arial" w:cs="Arial" w:eastAsia="Arial" w:hAnsi="Arial"/>
          <w:color w:val="1A1A1A"/>
          <w:sz w:val="20"/>
          <w:szCs w:val="20"/>
        </w:rPr>
        <w:t xml:space="preserve">dish_liked had ~28,000 missing values and was dropped as it was not needed for analysis.</w:t>
      </w:r>
    </w:p>
    <w:p>
      <w:r>
        <w:br w:type="page"/>
      </w:r>
    </w:p>
    <w:p>
      <w:pPr>
        <w:pStyle w:val="Heading1"/>
        <w:pBdr>
          <w:bottom w:val="single" w:color="C0392B" w:sz="6" w:space="4"/>
        </w:pBdr>
        <w:spacing w:after="120" w:before="320"/>
      </w:pPr>
      <w:r>
        <w:rPr>
          <w:rFonts w:ascii="Arial" w:cs="Arial" w:eastAsia="Arial" w:hAnsi="Arial"/>
          <w:b/>
          <w:bCs/>
          <w:color w:val="C0392B"/>
          <w:sz w:val="32"/>
          <w:szCs w:val="32"/>
        </w:rPr>
        <w:t xml:space="preserve">5. Data Cleaning &amp; ETL Pipeline</w:t>
      </w:r>
    </w:p>
    <w:p>
      <w:pPr>
        <w:pStyle w:val="Heading2"/>
        <w:spacing w:after="80" w:before="240"/>
      </w:pPr>
      <w:r>
        <w:rPr>
          <w:rFonts w:ascii="Arial" w:cs="Arial" w:eastAsia="Arial" w:hAnsi="Arial"/>
          <w:b/>
          <w:bCs/>
          <w:color w:val="1A1A1A"/>
          <w:sz w:val="26"/>
          <w:szCs w:val="26"/>
        </w:rPr>
        <w:t xml:space="preserve">5.1 Pipeline Architecture</w:t>
      </w:r>
    </w:p>
    <w:p>
      <w:pPr>
        <w:spacing w:after="60" w:before="60"/>
        <w:jc w:val="both"/>
      </w:pPr>
      <w:r>
        <w:rPr>
          <w:rFonts w:ascii="Arial" w:cs="Arial" w:eastAsia="Arial" w:hAnsi="Arial"/>
          <w:color w:val="1A1A1A"/>
          <w:sz w:val="20"/>
          <w:szCs w:val="20"/>
        </w:rPr>
        <w:t xml:space="preserve">The ETL pipeline was implemented as a modular Python script (etl_pipeline.py) with three clearly separated stages, ensuring maintainability, testability, and re-usability.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Stage</w:t>
            </w:r>
          </w:p>
        </w:tc>
        <w:tc>
          <w:tcPr>
            <w:tcW w:type="dxa" w:w="24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w:t>
            </w:r>
          </w:p>
        </w:tc>
        <w:tc>
          <w:tcPr>
            <w:tcW w:type="dxa" w:w="546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Extract</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extract_data(path)</w:t>
            </w:r>
          </w:p>
        </w:tc>
        <w:tc>
          <w:tcPr>
            <w:tcW w:type="dxa" w:w="5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Reads raw CSV from disk using latin-1 encoding to handle special characters.</w:t>
            </w:r>
          </w:p>
        </w:tc>
      </w:tr>
      <w:tr>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Transform</w:t>
            </w:r>
          </w:p>
        </w:tc>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transform_data(df)</w:t>
            </w:r>
          </w:p>
        </w:tc>
        <w:tc>
          <w:tcPr>
            <w:tcW w:type="dxa" w:w="54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Applies all cleaning, encoding, and standardisation steps to the raw data.</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Load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load_data(df, output_path)</w:t>
            </w:r>
          </w:p>
        </w:tc>
        <w:tc>
          <w:tcPr>
            <w:tcW w:type="dxa" w:w="5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Saves the fully cleaned DataFrame as a CSV to the processed data folder.</w:t>
            </w:r>
          </w:p>
        </w:tc>
      </w:tr>
    </w:tbl>
    <w:p>
      <w:pPr>
        <w:spacing w:after="0" w:before="80"/>
      </w:pPr>
    </w:p>
    <w:p>
      <w:pPr>
        <w:pStyle w:val="Heading2"/>
        <w:spacing w:after="80" w:before="240"/>
      </w:pPr>
      <w:r>
        <w:rPr>
          <w:rFonts w:ascii="Arial" w:cs="Arial" w:eastAsia="Arial" w:hAnsi="Arial"/>
          <w:b/>
          <w:bCs/>
          <w:color w:val="1A1A1A"/>
          <w:sz w:val="26"/>
          <w:szCs w:val="26"/>
        </w:rPr>
        <w:t xml:space="preserve">5.2 Transformation Steps</w:t>
      </w:r>
    </w:p>
    <w:p>
      <w:pPr>
        <w:pStyle w:val="Heading3"/>
        <w:spacing w:after="60" w:before="160"/>
      </w:pPr>
      <w:r>
        <w:rPr>
          <w:rFonts w:ascii="Arial" w:cs="Arial" w:eastAsia="Arial" w:hAnsi="Arial"/>
          <w:b/>
          <w:bCs/>
          <w:color w:val="444444"/>
          <w:sz w:val="22"/>
          <w:szCs w:val="22"/>
        </w:rPr>
        <w:t xml:space="preserve">Step 1 — Column Removal</w:t>
      </w:r>
    </w:p>
    <w:p>
      <w:pPr>
        <w:spacing w:after="60" w:before="60"/>
        <w:jc w:val="both"/>
      </w:pPr>
      <w:r>
        <w:rPr>
          <w:rFonts w:ascii="Arial" w:cs="Arial" w:eastAsia="Arial" w:hAnsi="Arial"/>
          <w:color w:val="1A1A1A"/>
          <w:sz w:val="20"/>
          <w:szCs w:val="20"/>
        </w:rPr>
        <w:t xml:space="preserve">Six irrelevant columns were dropped to reduce noise and improve performance: url, phone, address, reviews_list, menu_item, and dish_liked. These columns had no analytical value for the intended visualizations.</w:t>
      </w:r>
    </w:p>
    <w:p>
      <w:pPr>
        <w:pStyle w:val="Heading3"/>
        <w:spacing w:after="60" w:before="160"/>
      </w:pPr>
      <w:r>
        <w:rPr>
          <w:rFonts w:ascii="Arial" w:cs="Arial" w:eastAsia="Arial" w:hAnsi="Arial"/>
          <w:b/>
          <w:bCs/>
          <w:color w:val="444444"/>
          <w:sz w:val="22"/>
          <w:szCs w:val="22"/>
        </w:rPr>
        <w:t xml:space="preserve">Step 2 — Rate Column Cleaning</w:t>
      </w:r>
    </w:p>
    <w:p>
      <w:pPr>
        <w:pStyle w:val="ListParagraph"/>
        <w:numPr>
          <w:ilvl w:val="0"/>
          <w:numId w:val="2"/>
        </w:numPr>
        <w:spacing w:after="40" w:before="40"/>
      </w:pPr>
      <w:r>
        <w:rPr>
          <w:rFonts w:ascii="Arial" w:cs="Arial" w:eastAsia="Arial" w:hAnsi="Arial"/>
          <w:color w:val="1A1A1A"/>
          <w:sz w:val="20"/>
          <w:szCs w:val="20"/>
        </w:rPr>
        <w:t xml:space="preserve">Replaced non-numeric placeholders 'NEW' and '-' with NaN.</w:t>
      </w:r>
    </w:p>
    <w:p>
      <w:pPr>
        <w:pStyle w:val="ListParagraph"/>
        <w:numPr>
          <w:ilvl w:val="0"/>
          <w:numId w:val="2"/>
        </w:numPr>
        <w:spacing w:after="40" w:before="40"/>
      </w:pPr>
      <w:r>
        <w:rPr>
          <w:rFonts w:ascii="Arial" w:cs="Arial" w:eastAsia="Arial" w:hAnsi="Arial"/>
          <w:color w:val="1A1A1A"/>
          <w:sz w:val="20"/>
          <w:szCs w:val="20"/>
        </w:rPr>
        <w:t xml:space="preserve">Stripped the '/5' suffix from all rating strings using string replacement.</w:t>
      </w:r>
    </w:p>
    <w:p>
      <w:pPr>
        <w:pStyle w:val="ListParagraph"/>
        <w:numPr>
          <w:ilvl w:val="0"/>
          <w:numId w:val="2"/>
        </w:numPr>
        <w:spacing w:after="40" w:before="40"/>
      </w:pPr>
      <w:r>
        <w:rPr>
          <w:rFonts w:ascii="Arial" w:cs="Arial" w:eastAsia="Arial" w:hAnsi="Arial"/>
          <w:color w:val="1A1A1A"/>
          <w:sz w:val="20"/>
          <w:szCs w:val="20"/>
        </w:rPr>
        <w:t xml:space="preserve">Converted the column to float using pd.to_numeric() with errors='coerce'.</w:t>
      </w:r>
    </w:p>
    <w:p>
      <w:pPr>
        <w:pStyle w:val="ListParagraph"/>
        <w:numPr>
          <w:ilvl w:val="0"/>
          <w:numId w:val="2"/>
        </w:numPr>
        <w:spacing w:after="40" w:before="40"/>
      </w:pPr>
      <w:r>
        <w:rPr>
          <w:rFonts w:ascii="Arial" w:cs="Arial" w:eastAsia="Arial" w:hAnsi="Arial"/>
          <w:color w:val="1A1A1A"/>
          <w:sz w:val="20"/>
          <w:szCs w:val="20"/>
        </w:rPr>
        <w:t xml:space="preserve">Filled remaining NaN values with the column mean (~3.70).</w:t>
      </w:r>
    </w:p>
    <w:p>
      <w:pPr>
        <w:pStyle w:val="Heading3"/>
        <w:spacing w:after="60" w:before="160"/>
      </w:pPr>
      <w:r>
        <w:rPr>
          <w:rFonts w:ascii="Arial" w:cs="Arial" w:eastAsia="Arial" w:hAnsi="Arial"/>
          <w:b/>
          <w:bCs/>
          <w:color w:val="444444"/>
          <w:sz w:val="22"/>
          <w:szCs w:val="22"/>
        </w:rPr>
        <w:t xml:space="preserve">Step 3 — Cost Column Cleaning</w:t>
      </w:r>
    </w:p>
    <w:p>
      <w:pPr>
        <w:pStyle w:val="ListParagraph"/>
        <w:numPr>
          <w:ilvl w:val="0"/>
          <w:numId w:val="2"/>
        </w:numPr>
        <w:spacing w:after="40" w:before="40"/>
      </w:pPr>
      <w:r>
        <w:rPr>
          <w:rFonts w:ascii="Arial" w:cs="Arial" w:eastAsia="Arial" w:hAnsi="Arial"/>
          <w:color w:val="1A1A1A"/>
          <w:sz w:val="20"/>
          <w:szCs w:val="20"/>
        </w:rPr>
        <w:t xml:space="preserve">Removed comma formatting from cost strings (e.g., '1,500' to '1500').</w:t>
      </w:r>
    </w:p>
    <w:p>
      <w:pPr>
        <w:pStyle w:val="ListParagraph"/>
        <w:numPr>
          <w:ilvl w:val="0"/>
          <w:numId w:val="2"/>
        </w:numPr>
        <w:spacing w:after="40" w:before="40"/>
      </w:pPr>
      <w:r>
        <w:rPr>
          <w:rFonts w:ascii="Arial" w:cs="Arial" w:eastAsia="Arial" w:hAnsi="Arial"/>
          <w:color w:val="1A1A1A"/>
          <w:sz w:val="20"/>
          <w:szCs w:val="20"/>
        </w:rPr>
        <w:t xml:space="preserve">Converted to numeric using pd.to_numeric() with errors='coerce'.</w:t>
      </w:r>
    </w:p>
    <w:p>
      <w:pPr>
        <w:pStyle w:val="ListParagraph"/>
        <w:numPr>
          <w:ilvl w:val="0"/>
          <w:numId w:val="2"/>
        </w:numPr>
        <w:spacing w:after="40" w:before="40"/>
      </w:pPr>
      <w:r>
        <w:rPr>
          <w:rFonts w:ascii="Arial" w:cs="Arial" w:eastAsia="Arial" w:hAnsi="Arial"/>
          <w:color w:val="1A1A1A"/>
          <w:sz w:val="20"/>
          <w:szCs w:val="20"/>
        </w:rPr>
        <w:t xml:space="preserve">Filled missing values with the column median for robustness against outliers.</w:t>
      </w:r>
    </w:p>
    <w:p>
      <w:pPr>
        <w:pStyle w:val="Heading3"/>
        <w:spacing w:after="60" w:before="160"/>
      </w:pPr>
      <w:r>
        <w:rPr>
          <w:rFonts w:ascii="Arial" w:cs="Arial" w:eastAsia="Arial" w:hAnsi="Arial"/>
          <w:b/>
          <w:bCs/>
          <w:color w:val="444444"/>
          <w:sz w:val="22"/>
          <w:szCs w:val="22"/>
        </w:rPr>
        <w:t xml:space="preserve">Step 4 — Column Renaming &amp; Encoding</w:t>
      </w:r>
    </w:p>
    <w:p>
      <w:pPr>
        <w:pStyle w:val="ListParagraph"/>
        <w:numPr>
          <w:ilvl w:val="0"/>
          <w:numId w:val="2"/>
        </w:numPr>
        <w:spacing w:after="40" w:before="40"/>
      </w:pPr>
      <w:r>
        <w:rPr>
          <w:rFonts w:ascii="Arial" w:cs="Arial" w:eastAsia="Arial" w:hAnsi="Arial"/>
          <w:color w:val="1A1A1A"/>
          <w:sz w:val="20"/>
          <w:szCs w:val="20"/>
        </w:rPr>
        <w:t xml:space="preserve">Column names were standardised by stripping whitespace, replacing spaces with underscores, and converting to lowercase.</w:t>
      </w:r>
    </w:p>
    <w:p>
      <w:pPr>
        <w:pStyle w:val="ListParagraph"/>
        <w:numPr>
          <w:ilvl w:val="0"/>
          <w:numId w:val="2"/>
        </w:numPr>
        <w:spacing w:after="40" w:before="40"/>
      </w:pPr>
      <w:r>
        <w:rPr>
          <w:rFonts w:ascii="Arial" w:cs="Arial" w:eastAsia="Arial" w:hAnsi="Arial"/>
          <w:color w:val="1A1A1A"/>
          <w:sz w:val="20"/>
          <w:szCs w:val="20"/>
        </w:rPr>
        <w:t xml:space="preserve">online_order and book_table: Mapped 'Yes' to 1, 'No' to 0 for numeric analysis.</w:t>
      </w:r>
    </w:p>
    <w:p>
      <w:pPr>
        <w:pStyle w:val="ListParagraph"/>
        <w:numPr>
          <w:ilvl w:val="0"/>
          <w:numId w:val="2"/>
        </w:numPr>
        <w:spacing w:after="40" w:before="40"/>
      </w:pPr>
      <w:r>
        <w:rPr>
          <w:rFonts w:ascii="Arial" w:cs="Arial" w:eastAsia="Arial" w:hAnsi="Arial"/>
          <w:color w:val="1A1A1A"/>
          <w:sz w:val="20"/>
          <w:szCs w:val="20"/>
        </w:rPr>
        <w:t xml:space="preserve">rest_type and cuisines: Only the primary (first) category was retained from comma-separated values.</w:t>
      </w:r>
    </w:p>
    <w:p>
      <w:pPr>
        <w:pStyle w:val="Heading2"/>
        <w:spacing w:after="80" w:before="240"/>
      </w:pPr>
      <w:r>
        <w:rPr>
          <w:rFonts w:ascii="Arial" w:cs="Arial" w:eastAsia="Arial" w:hAnsi="Arial"/>
          <w:b/>
          <w:bCs/>
          <w:color w:val="1A1A1A"/>
          <w:sz w:val="26"/>
          <w:szCs w:val="26"/>
        </w:rPr>
        <w:t xml:space="preserve">5.3 Pipeline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4"/>
              <w:left w:val="single" w:color="C0392B" w:sz="4"/>
              <w:bottom w:val="single" w:color="C0392B" w:sz="4"/>
              <w:right w:val="single" w:color="C0392B" w:sz="4"/>
            </w:tcBorders>
            <w:shd w:fill="C0392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17</w:t>
            </w:r>
          </w:p>
          <w:p>
            <w:pPr>
              <w:jc w:val="center"/>
            </w:pPr>
            <w:r>
              <w:rPr>
                <w:rFonts w:ascii="Arial" w:cs="Arial" w:eastAsia="Arial" w:hAnsi="Arial"/>
                <w:color w:val="FFFFFF"/>
                <w:sz w:val="16"/>
                <w:szCs w:val="16"/>
              </w:rPr>
              <w:t xml:space="preserve">Input Columns</w:t>
            </w:r>
          </w:p>
        </w:tc>
        <w:tc>
          <w:tcPr>
            <w:tcW w:type="dxa" w:w="2340"/>
            <w:tcBorders>
              <w:top w:val="single" w:color="C0392B" w:sz="4"/>
              <w:left w:val="single" w:color="C0392B" w:sz="4"/>
              <w:bottom w:val="single" w:color="C0392B" w:sz="4"/>
              <w:right w:val="single" w:color="C0392B" w:sz="4"/>
            </w:tcBorders>
            <w:shd w:fill="C0392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11</w:t>
            </w:r>
          </w:p>
          <w:p>
            <w:pPr>
              <w:jc w:val="center"/>
            </w:pPr>
            <w:r>
              <w:rPr>
                <w:rFonts w:ascii="Arial" w:cs="Arial" w:eastAsia="Arial" w:hAnsi="Arial"/>
                <w:color w:val="FFFFFF"/>
                <w:sz w:val="16"/>
                <w:szCs w:val="16"/>
              </w:rPr>
              <w:t xml:space="preserve">Output Columns</w:t>
            </w:r>
          </w:p>
        </w:tc>
        <w:tc>
          <w:tcPr>
            <w:tcW w:type="dxa" w:w="2340"/>
            <w:tcBorders>
              <w:top w:val="single" w:color="C0392B" w:sz="4"/>
              <w:left w:val="single" w:color="C0392B" w:sz="4"/>
              <w:bottom w:val="single" w:color="C0392B" w:sz="4"/>
              <w:right w:val="single" w:color="C0392B" w:sz="4"/>
            </w:tcBorders>
            <w:shd w:fill="C0392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51,717</w:t>
            </w:r>
          </w:p>
          <w:p>
            <w:pPr>
              <w:jc w:val="center"/>
            </w:pPr>
            <w:r>
              <w:rPr>
                <w:rFonts w:ascii="Arial" w:cs="Arial" w:eastAsia="Arial" w:hAnsi="Arial"/>
                <w:color w:val="FFFFFF"/>
                <w:sz w:val="16"/>
                <w:szCs w:val="16"/>
              </w:rPr>
              <w:t xml:space="preserve">Records Processed</w:t>
            </w:r>
          </w:p>
        </w:tc>
        <w:tc>
          <w:tcPr>
            <w:tcW w:type="dxa" w:w="2340"/>
            <w:tcBorders>
              <w:top w:val="single" w:color="C0392B" w:sz="4"/>
              <w:left w:val="single" w:color="C0392B" w:sz="4"/>
              <w:bottom w:val="single" w:color="C0392B" w:sz="4"/>
              <w:right w:val="single" w:color="C0392B" w:sz="4"/>
            </w:tcBorders>
            <w:shd w:fill="C0392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0</w:t>
            </w:r>
          </w:p>
          <w:p>
            <w:pPr>
              <w:jc w:val="center"/>
            </w:pPr>
            <w:r>
              <w:rPr>
                <w:rFonts w:ascii="Arial" w:cs="Arial" w:eastAsia="Arial" w:hAnsi="Arial"/>
                <w:color w:val="FFFFFF"/>
                <w:sz w:val="16"/>
                <w:szCs w:val="16"/>
              </w:rPr>
              <w:t xml:space="preserve">Missing Values</w:t>
            </w:r>
          </w:p>
        </w:tc>
      </w:tr>
    </w:tbl>
    <w:p>
      <w:r>
        <w:br w:type="page"/>
      </w:r>
    </w:p>
    <w:p>
      <w:pPr>
        <w:pStyle w:val="Heading1"/>
        <w:pBdr>
          <w:bottom w:val="single" w:color="C0392B" w:sz="6" w:space="4"/>
        </w:pBdr>
        <w:spacing w:after="120" w:before="320"/>
      </w:pPr>
      <w:r>
        <w:rPr>
          <w:rFonts w:ascii="Arial" w:cs="Arial" w:eastAsia="Arial" w:hAnsi="Arial"/>
          <w:b/>
          <w:bCs/>
          <w:color w:val="C0392B"/>
          <w:sz w:val="32"/>
          <w:szCs w:val="32"/>
        </w:rPr>
        <w:t xml:space="preserve">6. KPI &amp; Metric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KPI</w:t>
            </w:r>
          </w:p>
        </w:tc>
        <w:tc>
          <w:tcPr>
            <w:tcW w:type="dxa" w:w="30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Formula / Source</w:t>
            </w:r>
          </w:p>
        </w:tc>
        <w:tc>
          <w:tcPr>
            <w:tcW w:type="dxa" w:w="356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Business Purpose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Average Rating</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Mean of rate column (post-cleaning)</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Measures overall perceived quality across the platform</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Total Restaurants</w:t>
            </w:r>
          </w:p>
        </w:tc>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Count of unique restaurant names</w:t>
            </w:r>
          </w:p>
        </w:tc>
        <w:tc>
          <w:tcPr>
            <w:tcW w:type="dxa" w:w="35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Indicates market size and platform coverage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Online Order Adoption (%)</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(Count online_order=1 / Total) x 100</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Tracks digital service penetration</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Table Booking Adoption (%)</w:t>
            </w:r>
          </w:p>
        </w:tc>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(Count book_table=1 / Total) x 100</w:t>
            </w:r>
          </w:p>
        </w:tc>
        <w:tc>
          <w:tcPr>
            <w:tcW w:type="dxa" w:w="35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Measures premium service feature uptake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Average Cost for Two (INR)</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Mean of approx_cost_for_two</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Benchmarks pricing across segments and locations</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Total Customer Votes</w:t>
            </w:r>
          </w:p>
        </w:tc>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Sum of votes column</w:t>
            </w:r>
          </w:p>
        </w:tc>
        <w:tc>
          <w:tcPr>
            <w:tcW w:type="dxa" w:w="35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Proxy for platform engagement and review volume</w:t>
            </w:r>
          </w:p>
        </w:tc>
      </w:tr>
    </w:tbl>
    <w:p>
      <w:r>
        <w:br w:type="page"/>
      </w:r>
    </w:p>
    <w:p>
      <w:pPr>
        <w:pStyle w:val="Heading1"/>
        <w:pBdr>
          <w:bottom w:val="single" w:color="C0392B" w:sz="6" w:space="4"/>
        </w:pBdr>
        <w:spacing w:after="120" w:before="320"/>
      </w:pPr>
      <w:r>
        <w:rPr>
          <w:rFonts w:ascii="Arial" w:cs="Arial" w:eastAsia="Arial" w:hAnsi="Arial"/>
          <w:b/>
          <w:bCs/>
          <w:color w:val="C0392B"/>
          <w:sz w:val="32"/>
          <w:szCs w:val="32"/>
        </w:rPr>
        <w:t xml:space="preserve">7. Exploratory Data Analysis</w:t>
      </w:r>
    </w:p>
    <w:p>
      <w:pPr>
        <w:pStyle w:val="Heading2"/>
        <w:spacing w:after="80" w:before="240"/>
      </w:pPr>
      <w:r>
        <w:rPr>
          <w:rFonts w:ascii="Arial" w:cs="Arial" w:eastAsia="Arial" w:hAnsi="Arial"/>
          <w:b/>
          <w:bCs/>
          <w:color w:val="1A1A1A"/>
          <w:sz w:val="26"/>
          <w:szCs w:val="26"/>
        </w:rPr>
        <w:t xml:space="preserve">7.1 Data Health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468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Total Rows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51,717</w:t>
            </w:r>
          </w:p>
        </w:tc>
      </w:tr>
      <w:tr>
        <w:tc>
          <w:tcPr>
            <w:tcW w:type="dxa" w:w="4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Total Columns</w:t>
            </w:r>
          </w:p>
        </w:tc>
        <w:tc>
          <w:tcPr>
            <w:tcW w:type="dxa" w:w="4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11</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Missing Values (post-cleaning)</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w:t>
            </w:r>
          </w:p>
        </w:tc>
      </w:tr>
      <w:tr>
        <w:tc>
          <w:tcPr>
            <w:tcW w:type="dxa" w:w="4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Duplicate Records Removed</w:t>
            </w:r>
          </w:p>
        </w:tc>
        <w:tc>
          <w:tcPr>
            <w:tcW w:type="dxa" w:w="4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108</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Imputed Rating Rows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10,052</w:t>
            </w:r>
          </w:p>
        </w:tc>
      </w:tr>
      <w:tr>
        <w:tc>
          <w:tcPr>
            <w:tcW w:type="dxa" w:w="4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Final Analysis Records</w:t>
            </w:r>
          </w:p>
        </w:tc>
        <w:tc>
          <w:tcPr>
            <w:tcW w:type="dxa" w:w="4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41,665</w:t>
            </w:r>
          </w:p>
        </w:tc>
      </w:tr>
    </w:tbl>
    <w:p>
      <w:pPr>
        <w:spacing w:after="0" w:before="80"/>
      </w:pPr>
    </w:p>
    <w:p>
      <w:pPr>
        <w:spacing w:after="60" w:before="60"/>
        <w:jc w:val="both"/>
      </w:pPr>
      <w:r>
        <w:rPr>
          <w:rFonts w:ascii="Arial" w:cs="Arial" w:eastAsia="Arial" w:hAnsi="Arial"/>
          <w:color w:val="1A1A1A"/>
          <w:sz w:val="20"/>
          <w:szCs w:val="20"/>
        </w:rPr>
        <w:t xml:space="preserve">Note: The 10,052 rows with imputed ratings (mean = 3.700) were excluded from final analysis to avoid introducing artificial central tendency bias in visualisations.</w:t>
      </w:r>
    </w:p>
    <w:p>
      <w:pPr>
        <w:spacing w:after="0" w:before="120"/>
      </w:pPr>
    </w:p>
    <w:p>
      <w:pPr>
        <w:pStyle w:val="Heading2"/>
        <w:spacing w:after="80" w:before="240"/>
      </w:pPr>
      <w:r>
        <w:rPr>
          <w:rFonts w:ascii="Arial" w:cs="Arial" w:eastAsia="Arial" w:hAnsi="Arial"/>
          <w:b/>
          <w:bCs/>
          <w:color w:val="1A1A1A"/>
          <w:sz w:val="26"/>
          <w:szCs w:val="26"/>
        </w:rPr>
        <w:t xml:space="preserve">7.2 Rating Distribution</w:t>
      </w:r>
    </w:p>
    <w:p>
      <w:pPr>
        <w:spacing w:after="60" w:before="60"/>
        <w:jc w:val="both"/>
      </w:pPr>
      <w:r>
        <w:rPr>
          <w:rFonts w:ascii="Arial" w:cs="Arial" w:eastAsia="Arial" w:hAnsi="Arial"/>
          <w:color w:val="1A1A1A"/>
          <w:sz w:val="20"/>
          <w:szCs w:val="20"/>
        </w:rPr>
        <w:t xml:space="preserve">The distribution of restaurant ratings reveals a left-skewed pattern, with most restaurants clustering between 3.5 and 4.2 on a 5-point scale. This indicates that Zomato generally maintains a curated listing of reasonably well-rated establishments.</w:t>
      </w:r>
    </w:p>
    <w:p>
      <w:pPr>
        <w:pStyle w:val="ListParagraph"/>
        <w:numPr>
          <w:ilvl w:val="0"/>
          <w:numId w:val="2"/>
        </w:numPr>
        <w:spacing w:after="40" w:before="40"/>
      </w:pPr>
      <w:r>
        <w:rPr>
          <w:rFonts w:ascii="Arial" w:cs="Arial" w:eastAsia="Arial" w:hAnsi="Arial"/>
          <w:color w:val="1A1A1A"/>
          <w:sz w:val="20"/>
          <w:szCs w:val="20"/>
        </w:rPr>
        <w:t xml:space="preserve">The majority of ratings fall in the 3.6–4.0 range, representing the typical customer perception of a satisfactory dining experience.</w:t>
      </w:r>
    </w:p>
    <w:p>
      <w:pPr>
        <w:pStyle w:val="ListParagraph"/>
        <w:numPr>
          <w:ilvl w:val="0"/>
          <w:numId w:val="2"/>
        </w:numPr>
        <w:spacing w:after="40" w:before="40"/>
      </w:pPr>
      <w:r>
        <w:rPr>
          <w:rFonts w:ascii="Arial" w:cs="Arial" w:eastAsia="Arial" w:hAnsi="Arial"/>
          <w:color w:val="1A1A1A"/>
          <w:sz w:val="20"/>
          <w:szCs w:val="20"/>
        </w:rPr>
        <w:t xml:space="preserve">Very few restaurants fall below 3.0 or above 4.5, suggesting that extremely poor or exceptional outliers are rare.</w:t>
      </w:r>
    </w:p>
    <w:p>
      <w:pPr>
        <w:pStyle w:val="ListParagraph"/>
        <w:numPr>
          <w:ilvl w:val="0"/>
          <w:numId w:val="2"/>
        </w:numPr>
        <w:spacing w:after="40" w:before="40"/>
      </w:pPr>
      <w:r>
        <w:rPr>
          <w:rFonts w:ascii="Arial" w:cs="Arial" w:eastAsia="Arial" w:hAnsi="Arial"/>
          <w:color w:val="1A1A1A"/>
          <w:sz w:val="20"/>
          <w:szCs w:val="20"/>
        </w:rPr>
        <w:t xml:space="preserve">The imputed mean of 3.700 aligns with this central tendency, confirming it was a reasonable imputation choice.</w:t>
      </w:r>
    </w:p>
    <w:p>
      <w:pPr>
        <w:spacing w:after="0" w:before="80"/>
      </w:pPr>
    </w:p>
    <w:p>
      <w:pPr>
        <w:pStyle w:val="Heading2"/>
        <w:spacing w:after="80" w:before="240"/>
      </w:pPr>
      <w:r>
        <w:rPr>
          <w:rFonts w:ascii="Arial" w:cs="Arial" w:eastAsia="Arial" w:hAnsi="Arial"/>
          <w:b/>
          <w:bCs/>
          <w:color w:val="1A1A1A"/>
          <w:sz w:val="26"/>
          <w:szCs w:val="26"/>
        </w:rPr>
        <w:t xml:space="preserve">7.3 Cost Distribution &amp; Pricing</w:t>
      </w:r>
    </w:p>
    <w:p>
      <w:pPr>
        <w:spacing w:after="60" w:before="60"/>
        <w:jc w:val="both"/>
      </w:pPr>
      <w:r>
        <w:rPr>
          <w:rFonts w:ascii="Arial" w:cs="Arial" w:eastAsia="Arial" w:hAnsi="Arial"/>
          <w:color w:val="1A1A1A"/>
          <w:sz w:val="20"/>
          <w:szCs w:val="20"/>
        </w:rPr>
        <w:t xml:space="preserve">The approximate cost for two people is strongly right-skewed, with the median significantly lower than the mean, indicating a small number of premium restaurants pull the average upward.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468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 (INR)</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Average Cost for Two</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602.06</w:t>
            </w:r>
          </w:p>
        </w:tc>
      </w:tr>
      <w:tr>
        <w:tc>
          <w:tcPr>
            <w:tcW w:type="dxa" w:w="4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Median Cost for Two</w:t>
            </w:r>
          </w:p>
        </w:tc>
        <w:tc>
          <w:tcPr>
            <w:tcW w:type="dxa" w:w="4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400.00 (approx.)</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Budget Segment (≤ ₹300)</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Affordable segment</w:t>
            </w:r>
          </w:p>
        </w:tc>
      </w:tr>
      <w:tr>
        <w:tc>
          <w:tcPr>
            <w:tcW w:type="dxa" w:w="4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Mid-range Segment (₹301–₹700)</w:t>
            </w:r>
          </w:p>
        </w:tc>
        <w:tc>
          <w:tcPr>
            <w:tcW w:type="dxa" w:w="4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Largest segment</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Premium Segment (&gt; ₹700)</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24.84% of restaurants</w:t>
            </w:r>
          </w:p>
        </w:tc>
      </w:tr>
    </w:tbl>
    <w:p>
      <w:pPr>
        <w:spacing w:after="0" w:before="120"/>
      </w:pPr>
    </w:p>
    <w:p>
      <w:pPr>
        <w:pStyle w:val="Heading2"/>
        <w:spacing w:after="80" w:before="240"/>
      </w:pPr>
      <w:r>
        <w:rPr>
          <w:rFonts w:ascii="Arial" w:cs="Arial" w:eastAsia="Arial" w:hAnsi="Arial"/>
          <w:b/>
          <w:bCs/>
          <w:color w:val="1A1A1A"/>
          <w:sz w:val="26"/>
          <w:szCs w:val="26"/>
        </w:rPr>
        <w:t xml:space="preserve">7.4 Service Feature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5000"/>
      </w:tblGrid>
      <w:tr>
        <w:trPr>
          <w:tblHeader/>
        </w:trPr>
        <w:tc>
          <w:tcPr>
            <w:tcW w:type="dxa" w:w="26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Feature</w:t>
            </w:r>
          </w:p>
        </w:tc>
        <w:tc>
          <w:tcPr>
            <w:tcW w:type="dxa" w:w="176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Adoption Rate</w:t>
            </w:r>
          </w:p>
        </w:tc>
        <w:tc>
          <w:tcPr>
            <w:tcW w:type="dxa" w:w="50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Insight</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Online Ordering</w:t>
            </w:r>
          </w:p>
        </w:tc>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65.30%</w:t>
            </w:r>
          </w:p>
        </w:tc>
        <w:tc>
          <w:tcPr>
            <w:tcW w:type="dxa" w:w="5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Majority of restaurants support online ordering, reflecting demand-side digitisation.</w:t>
            </w:r>
          </w:p>
        </w:tc>
      </w:tr>
      <w:tr>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Table Booking</w:t>
            </w:r>
          </w:p>
        </w:tc>
        <w:tc>
          <w:tcPr>
            <w:tcW w:type="dxa" w:w="17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15.13%</w:t>
            </w:r>
          </w:p>
        </w:tc>
        <w:tc>
          <w:tcPr>
            <w:tcW w:type="dxa" w:w="5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Table booking is far less common, typically seen only in premium dine-in establishments.</w:t>
            </w:r>
          </w:p>
        </w:tc>
      </w:tr>
    </w:tbl>
    <w:p>
      <w:pPr>
        <w:spacing w:after="0" w:before="80"/>
      </w:pPr>
    </w:p>
    <w:p>
      <w:pPr>
        <w:pStyle w:val="ListParagraph"/>
        <w:numPr>
          <w:ilvl w:val="0"/>
          <w:numId w:val="2"/>
        </w:numPr>
        <w:spacing w:after="40" w:before="40"/>
      </w:pPr>
      <w:r>
        <w:rPr>
          <w:rFonts w:ascii="Arial" w:cs="Arial" w:eastAsia="Arial" w:hAnsi="Arial"/>
          <w:color w:val="1A1A1A"/>
          <w:sz w:val="20"/>
          <w:szCs w:val="20"/>
        </w:rPr>
        <w:t xml:space="preserve">Restaurants with online ordering tend to have slightly lower average costs, suggesting they cater to the delivery-focused budget and mid-range segments.</w:t>
      </w:r>
    </w:p>
    <w:p>
      <w:pPr>
        <w:pStyle w:val="ListParagraph"/>
        <w:numPr>
          <w:ilvl w:val="0"/>
          <w:numId w:val="2"/>
        </w:numPr>
        <w:spacing w:after="40" w:before="40"/>
      </w:pPr>
      <w:r>
        <w:rPr>
          <w:rFonts w:ascii="Arial" w:cs="Arial" w:eastAsia="Arial" w:hAnsi="Arial"/>
          <w:color w:val="1A1A1A"/>
          <w:sz w:val="20"/>
          <w:szCs w:val="20"/>
        </w:rPr>
        <w:t xml:space="preserve">Table booking is strongly associated with higher cost restaurants and Casual Dining or Fine Dining categories.</w:t>
      </w:r>
    </w:p>
    <w:p>
      <w:pPr>
        <w:spacing w:after="0" w:before="120"/>
      </w:pPr>
    </w:p>
    <w:p>
      <w:pPr>
        <w:pStyle w:val="Heading2"/>
        <w:spacing w:after="80" w:before="240"/>
      </w:pPr>
      <w:r>
        <w:rPr>
          <w:rFonts w:ascii="Arial" w:cs="Arial" w:eastAsia="Arial" w:hAnsi="Arial"/>
          <w:b/>
          <w:bCs/>
          <w:color w:val="1A1A1A"/>
          <w:sz w:val="26"/>
          <w:szCs w:val="26"/>
        </w:rPr>
        <w:t xml:space="preserve">7.5 Location-wise Analysis</w:t>
      </w:r>
    </w:p>
    <w:p>
      <w:pPr>
        <w:spacing w:after="60" w:before="60"/>
        <w:jc w:val="both"/>
      </w:pPr>
      <w:r>
        <w:rPr>
          <w:rFonts w:ascii="Arial" w:cs="Arial" w:eastAsia="Arial" w:hAnsi="Arial"/>
          <w:color w:val="1A1A1A"/>
          <w:sz w:val="20"/>
          <w:szCs w:val="20"/>
        </w:rPr>
        <w:t xml:space="preserve">Bengaluru's restaurant landscape is heavily concentrated in a few key localities: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680"/>
        <w:gridCol w:w="2680"/>
      </w:tblGrid>
      <w:tr>
        <w:trPr>
          <w:tblHeader/>
        </w:trPr>
        <w:tc>
          <w:tcPr>
            <w:tcW w:type="dxa" w:w="30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Location</w:t>
            </w:r>
          </w:p>
        </w:tc>
        <w:tc>
          <w:tcPr>
            <w:tcW w:type="dxa" w:w="20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 Restaurants</w:t>
            </w:r>
          </w:p>
        </w:tc>
        <w:tc>
          <w:tcPr>
            <w:tcW w:type="dxa" w:w="168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Avg Rating</w:t>
            </w:r>
          </w:p>
        </w:tc>
        <w:tc>
          <w:tcPr>
            <w:tcW w:type="dxa" w:w="268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Avg Cost (INR)</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BTM</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3,930</w:t>
            </w:r>
          </w:p>
        </w:tc>
        <w:tc>
          <w:tcPr>
            <w:tcW w:type="dxa" w:w="1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3.57</w:t>
            </w:r>
          </w:p>
        </w:tc>
        <w:tc>
          <w:tcPr>
            <w:tcW w:type="dxa" w:w="2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₹419</w:t>
            </w:r>
          </w:p>
        </w:tc>
      </w:tr>
      <w:tr>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Koramangala 5th Block</w:t>
            </w:r>
          </w:p>
        </w:tc>
        <w:tc>
          <w:tcPr>
            <w:tcW w:type="dxa" w:w="2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2,319</w:t>
            </w:r>
          </w:p>
        </w:tc>
        <w:tc>
          <w:tcPr>
            <w:tcW w:type="dxa" w:w="1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4.01</w:t>
            </w:r>
          </w:p>
        </w:tc>
        <w:tc>
          <w:tcPr>
            <w:tcW w:type="dxa" w:w="2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₹678</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HSR</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2,019</w:t>
            </w:r>
          </w:p>
        </w:tc>
        <w:tc>
          <w:tcPr>
            <w:tcW w:type="dxa" w:w="1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3.67</w:t>
            </w:r>
          </w:p>
        </w:tc>
        <w:tc>
          <w:tcPr>
            <w:tcW w:type="dxa" w:w="2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₹499</w:t>
            </w:r>
          </w:p>
        </w:tc>
      </w:tr>
      <w:tr>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Indiranagar</w:t>
            </w:r>
          </w:p>
        </w:tc>
        <w:tc>
          <w:tcPr>
            <w:tcW w:type="dxa" w:w="2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1,847</w:t>
            </w:r>
          </w:p>
        </w:tc>
        <w:tc>
          <w:tcPr>
            <w:tcW w:type="dxa" w:w="1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3.83</w:t>
            </w:r>
          </w:p>
        </w:tc>
        <w:tc>
          <w:tcPr>
            <w:tcW w:type="dxa" w:w="2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₹672</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JP Nagar</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1,717</w:t>
            </w:r>
          </w:p>
        </w:tc>
        <w:tc>
          <w:tcPr>
            <w:tcW w:type="dxa" w:w="1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3.68</w:t>
            </w:r>
          </w:p>
        </w:tc>
        <w:tc>
          <w:tcPr>
            <w:tcW w:type="dxa" w:w="2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₹554</w:t>
            </w:r>
          </w:p>
        </w:tc>
      </w:tr>
      <w:tr>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Jayanagar</w:t>
            </w:r>
          </w:p>
        </w:tc>
        <w:tc>
          <w:tcPr>
            <w:tcW w:type="dxa" w:w="2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1,643</w:t>
            </w:r>
          </w:p>
        </w:tc>
        <w:tc>
          <w:tcPr>
            <w:tcW w:type="dxa" w:w="1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3.78</w:t>
            </w:r>
          </w:p>
        </w:tc>
        <w:tc>
          <w:tcPr>
            <w:tcW w:type="dxa" w:w="2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₹500</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Whitefield</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1,582</w:t>
            </w:r>
          </w:p>
        </w:tc>
        <w:tc>
          <w:tcPr>
            <w:tcW w:type="dxa" w:w="1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3.62</w:t>
            </w:r>
          </w:p>
        </w:tc>
        <w:tc>
          <w:tcPr>
            <w:tcW w:type="dxa" w:w="2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₹677</w:t>
            </w:r>
          </w:p>
        </w:tc>
      </w:tr>
      <w:tr>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Marathahalli</w:t>
            </w:r>
          </w:p>
        </w:tc>
        <w:tc>
          <w:tcPr>
            <w:tcW w:type="dxa" w:w="2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1,443</w:t>
            </w:r>
          </w:p>
        </w:tc>
        <w:tc>
          <w:tcPr>
            <w:tcW w:type="dxa" w:w="1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3.54</w:t>
            </w:r>
          </w:p>
        </w:tc>
        <w:tc>
          <w:tcPr>
            <w:tcW w:type="dxa" w:w="2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₹557</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Bannerghatta Road</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1,235</w:t>
            </w:r>
          </w:p>
        </w:tc>
        <w:tc>
          <w:tcPr>
            <w:tcW w:type="dxa" w:w="1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3.51</w:t>
            </w:r>
          </w:p>
        </w:tc>
        <w:tc>
          <w:tcPr>
            <w:tcW w:type="dxa" w:w="2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₹476</w:t>
            </w:r>
          </w:p>
        </w:tc>
      </w:tr>
      <w:tr>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Koramangala 6th Block</w:t>
            </w:r>
          </w:p>
        </w:tc>
        <w:tc>
          <w:tcPr>
            <w:tcW w:type="dxa" w:w="2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1,077</w:t>
            </w:r>
          </w:p>
        </w:tc>
        <w:tc>
          <w:tcPr>
            <w:tcW w:type="dxa" w:w="1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3.78</w:t>
            </w:r>
          </w:p>
        </w:tc>
        <w:tc>
          <w:tcPr>
            <w:tcW w:type="dxa" w:w="2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₹631</w:t>
            </w:r>
          </w:p>
        </w:tc>
      </w:tr>
    </w:tbl>
    <w:p>
      <w:pPr>
        <w:spacing w:after="0" w:before="80"/>
      </w:pPr>
    </w:p>
    <w:p>
      <w:pPr>
        <w:pStyle w:val="ListParagraph"/>
        <w:numPr>
          <w:ilvl w:val="0"/>
          <w:numId w:val="2"/>
        </w:numPr>
        <w:spacing w:after="40" w:before="40"/>
      </w:pPr>
      <w:r>
        <w:rPr>
          <w:rFonts w:ascii="Arial" w:cs="Arial" w:eastAsia="Arial" w:hAnsi="Arial"/>
          <w:color w:val="1A1A1A"/>
          <w:sz w:val="20"/>
          <w:szCs w:val="20"/>
        </w:rPr>
        <w:t xml:space="preserve">BTM Layout has the highest restaurant count but a below-average rating, suggesting high competition and mixed quality.</w:t>
      </w:r>
    </w:p>
    <w:p>
      <w:pPr>
        <w:pStyle w:val="ListParagraph"/>
        <w:numPr>
          <w:ilvl w:val="0"/>
          <w:numId w:val="2"/>
        </w:numPr>
        <w:spacing w:after="40" w:before="40"/>
      </w:pPr>
      <w:r>
        <w:rPr>
          <w:rFonts w:ascii="Arial" w:cs="Arial" w:eastAsia="Arial" w:hAnsi="Arial"/>
          <w:color w:val="1A1A1A"/>
          <w:sz w:val="20"/>
          <w:szCs w:val="20"/>
        </w:rPr>
        <w:t xml:space="preserve">Koramangala 5th Block stands out with the highest average rating (4.01) and premium cost, indicating a well-curated, upscale dining scene.</w:t>
      </w:r>
    </w:p>
    <w:p>
      <w:pPr>
        <w:pStyle w:val="ListParagraph"/>
        <w:numPr>
          <w:ilvl w:val="0"/>
          <w:numId w:val="2"/>
        </w:numPr>
        <w:spacing w:after="40" w:before="40"/>
      </w:pPr>
      <w:r>
        <w:rPr>
          <w:rFonts w:ascii="Arial" w:cs="Arial" w:eastAsia="Arial" w:hAnsi="Arial"/>
          <w:color w:val="1A1A1A"/>
          <w:sz w:val="20"/>
          <w:szCs w:val="20"/>
        </w:rPr>
        <w:t xml:space="preserve">Indiranagar and Whitefield show strong restaurant density with high costs, catering to the tech-working population.</w:t>
      </w:r>
    </w:p>
    <w:p>
      <w:pPr>
        <w:spacing w:after="0" w:before="120"/>
      </w:pPr>
    </w:p>
    <w:p>
      <w:pPr>
        <w:pStyle w:val="Heading2"/>
        <w:spacing w:after="80" w:before="240"/>
      </w:pPr>
      <w:r>
        <w:rPr>
          <w:rFonts w:ascii="Arial" w:cs="Arial" w:eastAsia="Arial" w:hAnsi="Arial"/>
          <w:b/>
          <w:bCs/>
          <w:color w:val="1A1A1A"/>
          <w:sz w:val="26"/>
          <w:szCs w:val="26"/>
        </w:rPr>
        <w:t xml:space="preserve">7.6 KPI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4"/>
              <w:left w:val="single" w:color="C0392B" w:sz="4"/>
              <w:bottom w:val="single" w:color="C0392B" w:sz="4"/>
              <w:right w:val="single" w:color="C0392B" w:sz="4"/>
            </w:tcBorders>
            <w:shd w:fill="C0392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41,665</w:t>
            </w:r>
          </w:p>
          <w:p>
            <w:pPr>
              <w:jc w:val="center"/>
            </w:pPr>
            <w:r>
              <w:rPr>
                <w:rFonts w:ascii="Arial" w:cs="Arial" w:eastAsia="Arial" w:hAnsi="Arial"/>
                <w:color w:val="FFFFFF"/>
                <w:sz w:val="16"/>
                <w:szCs w:val="16"/>
              </w:rPr>
              <w:t xml:space="preserve">Total Restaurants</w:t>
            </w:r>
          </w:p>
        </w:tc>
        <w:tc>
          <w:tcPr>
            <w:tcW w:type="dxa" w:w="2340"/>
            <w:tcBorders>
              <w:top w:val="single" w:color="C0392B" w:sz="4"/>
              <w:left w:val="single" w:color="C0392B" w:sz="4"/>
              <w:bottom w:val="single" w:color="C0392B" w:sz="4"/>
              <w:right w:val="single" w:color="C0392B" w:sz="4"/>
            </w:tcBorders>
            <w:shd w:fill="C0392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3.70</w:t>
            </w:r>
          </w:p>
          <w:p>
            <w:pPr>
              <w:jc w:val="center"/>
            </w:pPr>
            <w:r>
              <w:rPr>
                <w:rFonts w:ascii="Arial" w:cs="Arial" w:eastAsia="Arial" w:hAnsi="Arial"/>
                <w:color w:val="FFFFFF"/>
                <w:sz w:val="16"/>
                <w:szCs w:val="16"/>
              </w:rPr>
              <w:t xml:space="preserve">Avg Rating</w:t>
            </w:r>
          </w:p>
        </w:tc>
        <w:tc>
          <w:tcPr>
            <w:tcW w:type="dxa" w:w="2340"/>
            <w:tcBorders>
              <w:top w:val="single" w:color="C0392B" w:sz="4"/>
              <w:left w:val="single" w:color="C0392B" w:sz="4"/>
              <w:bottom w:val="single" w:color="C0392B" w:sz="4"/>
              <w:right w:val="single" w:color="C0392B" w:sz="4"/>
            </w:tcBorders>
            <w:shd w:fill="C0392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₹602</w:t>
            </w:r>
          </w:p>
          <w:p>
            <w:pPr>
              <w:jc w:val="center"/>
            </w:pPr>
            <w:r>
              <w:rPr>
                <w:rFonts w:ascii="Arial" w:cs="Arial" w:eastAsia="Arial" w:hAnsi="Arial"/>
                <w:color w:val="FFFFFF"/>
                <w:sz w:val="16"/>
                <w:szCs w:val="16"/>
              </w:rPr>
              <w:t xml:space="preserve">Avg Cost (INR)</w:t>
            </w:r>
          </w:p>
        </w:tc>
        <w:tc>
          <w:tcPr>
            <w:tcW w:type="dxa" w:w="2340"/>
            <w:tcBorders>
              <w:top w:val="single" w:color="C0392B" w:sz="4"/>
              <w:left w:val="single" w:color="C0392B" w:sz="4"/>
              <w:bottom w:val="single" w:color="C0392B" w:sz="4"/>
              <w:right w:val="single" w:color="C0392B" w:sz="4"/>
            </w:tcBorders>
            <w:shd w:fill="C0392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65.3%</w:t>
            </w:r>
          </w:p>
          <w:p>
            <w:pPr>
              <w:jc w:val="center"/>
            </w:pPr>
            <w:r>
              <w:rPr>
                <w:rFonts w:ascii="Arial" w:cs="Arial" w:eastAsia="Arial" w:hAnsi="Arial"/>
                <w:color w:val="FFFFFF"/>
                <w:sz w:val="16"/>
                <w:szCs w:val="16"/>
              </w:rPr>
              <w:t xml:space="preserve">Online Order %</w:t>
            </w:r>
          </w:p>
        </w:tc>
      </w:tr>
    </w:tbl>
    <w:p>
      <w:pPr>
        <w:spacing w:after="0" w:before="120"/>
      </w:pPr>
    </w:p>
    <w:p>
      <w:pPr>
        <w:pStyle w:val="Heading2"/>
        <w:spacing w:after="80" w:before="240"/>
      </w:pPr>
      <w:r>
        <w:rPr>
          <w:rFonts w:ascii="Arial" w:cs="Arial" w:eastAsia="Arial" w:hAnsi="Arial"/>
          <w:b/>
          <w:bCs/>
          <w:color w:val="1A1A1A"/>
          <w:sz w:val="26"/>
          <w:szCs w:val="26"/>
        </w:rPr>
        <w:t xml:space="preserve">7.7 Correlation Analysis</w:t>
      </w:r>
    </w:p>
    <w:p>
      <w:pPr>
        <w:spacing w:after="60" w:before="60"/>
        <w:jc w:val="both"/>
      </w:pPr>
      <w:r>
        <w:rPr>
          <w:rFonts w:ascii="Arial" w:cs="Arial" w:eastAsia="Arial" w:hAnsi="Arial"/>
          <w:color w:val="1A1A1A"/>
          <w:sz w:val="20"/>
          <w:szCs w:val="20"/>
        </w:rPr>
        <w:t xml:space="preserve">A correlation matrix was computed across five numeric variables: online_order, book_table, rate, votes, and approx_cost_for_two. Key observations:</w:t>
      </w:r>
    </w:p>
    <w:p>
      <w:pPr>
        <w:pStyle w:val="ListParagraph"/>
        <w:numPr>
          <w:ilvl w:val="0"/>
          <w:numId w:val="2"/>
        </w:numPr>
        <w:spacing w:after="40" w:before="40"/>
      </w:pPr>
      <w:r>
        <w:rPr>
          <w:rFonts w:ascii="Arial" w:cs="Arial" w:eastAsia="Arial" w:hAnsi="Arial"/>
          <w:color w:val="1A1A1A"/>
          <w:sz w:val="20"/>
          <w:szCs w:val="20"/>
        </w:rPr>
        <w:t xml:space="preserve">Rate and votes show a moderate positive correlation — more popular restaurants tend to have higher ratings.</w:t>
      </w:r>
    </w:p>
    <w:p>
      <w:pPr>
        <w:pStyle w:val="ListParagraph"/>
        <w:numPr>
          <w:ilvl w:val="0"/>
          <w:numId w:val="2"/>
        </w:numPr>
        <w:spacing w:after="40" w:before="40"/>
      </w:pPr>
      <w:r>
        <w:rPr>
          <w:rFonts w:ascii="Arial" w:cs="Arial" w:eastAsia="Arial" w:hAnsi="Arial"/>
          <w:color w:val="1A1A1A"/>
          <w:sz w:val="20"/>
          <w:szCs w:val="20"/>
        </w:rPr>
        <w:t xml:space="preserve">Cost has a mild positive correlation with rating — higher-priced restaurants offer a slightly better perceived experience.</w:t>
      </w:r>
    </w:p>
    <w:p>
      <w:pPr>
        <w:pStyle w:val="ListParagraph"/>
        <w:numPr>
          <w:ilvl w:val="0"/>
          <w:numId w:val="2"/>
        </w:numPr>
        <w:spacing w:after="40" w:before="40"/>
      </w:pPr>
      <w:r>
        <w:rPr>
          <w:rFonts w:ascii="Arial" w:cs="Arial" w:eastAsia="Arial" w:hAnsi="Arial"/>
          <w:color w:val="1A1A1A"/>
          <w:sz w:val="20"/>
          <w:szCs w:val="20"/>
        </w:rPr>
        <w:t xml:space="preserve">online_order shows a mild negative correlation with cost — online-ordering restaurants are typically more affordable.</w:t>
      </w:r>
    </w:p>
    <w:p>
      <w:pPr>
        <w:pStyle w:val="ListParagraph"/>
        <w:numPr>
          <w:ilvl w:val="0"/>
          <w:numId w:val="2"/>
        </w:numPr>
        <w:spacing w:after="40" w:before="40"/>
      </w:pPr>
      <w:r>
        <w:rPr>
          <w:rFonts w:ascii="Arial" w:cs="Arial" w:eastAsia="Arial" w:hAnsi="Arial"/>
          <w:color w:val="1A1A1A"/>
          <w:sz w:val="20"/>
          <w:szCs w:val="20"/>
        </w:rPr>
        <w:t xml:space="preserve">book_table has a moderate positive correlation with cost — table-booking is a premium feature.</w:t>
      </w:r>
    </w:p>
    <w:p>
      <w:r>
        <w:br w:type="page"/>
      </w:r>
    </w:p>
    <w:p>
      <w:pPr>
        <w:pStyle w:val="Heading1"/>
        <w:pBdr>
          <w:bottom w:val="single" w:color="C0392B" w:sz="6" w:space="4"/>
        </w:pBdr>
        <w:spacing w:after="120" w:before="320"/>
      </w:pPr>
      <w:r>
        <w:rPr>
          <w:rFonts w:ascii="Arial" w:cs="Arial" w:eastAsia="Arial" w:hAnsi="Arial"/>
          <w:b/>
          <w:bCs/>
          <w:color w:val="C0392B"/>
          <w:sz w:val="32"/>
          <w:szCs w:val="32"/>
        </w:rPr>
        <w:t xml:space="preserve">8. Statistical Analysis</w:t>
      </w:r>
    </w:p>
    <w:p>
      <w:pPr>
        <w:pStyle w:val="Heading2"/>
        <w:spacing w:after="80" w:before="240"/>
      </w:pPr>
      <w:r>
        <w:rPr>
          <w:rFonts w:ascii="Arial" w:cs="Arial" w:eastAsia="Arial" w:hAnsi="Arial"/>
          <w:b/>
          <w:bCs/>
          <w:color w:val="1A1A1A"/>
          <w:sz w:val="26"/>
          <w:szCs w:val="26"/>
        </w:rPr>
        <w:t xml:space="preserve">8.1 Distribution Analysis</w:t>
      </w:r>
    </w:p>
    <w:p>
      <w:pPr>
        <w:spacing w:after="60" w:before="60"/>
        <w:jc w:val="both"/>
      </w:pPr>
      <w:r>
        <w:rPr>
          <w:rFonts w:ascii="Arial" w:cs="Arial" w:eastAsia="Arial" w:hAnsi="Arial"/>
          <w:color w:val="1A1A1A"/>
          <w:sz w:val="20"/>
          <w:szCs w:val="20"/>
        </w:rPr>
        <w:t xml:space="preserve">Ratings follow a near-normal distribution with slight left skew (mean 3.70, most values between 3.5 and 4.2). Cost follows a right-skewed distribution, confirming that a small number of premium restaurants disproportionately inflate the mean.</w:t>
      </w:r>
    </w:p>
    <w:p>
      <w:pPr>
        <w:pStyle w:val="Heading2"/>
        <w:spacing w:after="80" w:before="240"/>
      </w:pPr>
      <w:r>
        <w:rPr>
          <w:rFonts w:ascii="Arial" w:cs="Arial" w:eastAsia="Arial" w:hAnsi="Arial"/>
          <w:b/>
          <w:bCs/>
          <w:color w:val="1A1A1A"/>
          <w:sz w:val="26"/>
          <w:szCs w:val="26"/>
        </w:rPr>
        <w:t xml:space="preserve">8.2 Segmentation Analysis</w:t>
      </w:r>
    </w:p>
    <w:p>
      <w:pPr>
        <w:spacing w:after="60" w:before="60"/>
        <w:jc w:val="both"/>
      </w:pPr>
      <w:r>
        <w:rPr>
          <w:rFonts w:ascii="Arial" w:cs="Arial" w:eastAsia="Arial" w:hAnsi="Arial"/>
          <w:color w:val="1A1A1A"/>
          <w:sz w:val="20"/>
          <w:szCs w:val="20"/>
        </w:rPr>
        <w:t xml:space="preserve">Restaurants were segmented into three pricing tiers — Budget (under Rs.300), Mid-range (Rs.301-700), and Premium (above Rs.700). The mid-range segment is the largest, while the premium segment (24.84%) demonstrates higher average ratings, supporting the price-quality correlation hypothesis.</w:t>
      </w:r>
    </w:p>
    <w:p>
      <w:pPr>
        <w:pStyle w:val="Heading2"/>
        <w:spacing w:after="80" w:before="240"/>
      </w:pPr>
      <w:r>
        <w:rPr>
          <w:rFonts w:ascii="Arial" w:cs="Arial" w:eastAsia="Arial" w:hAnsi="Arial"/>
          <w:b/>
          <w:bCs/>
          <w:color w:val="1A1A1A"/>
          <w:sz w:val="26"/>
          <w:szCs w:val="26"/>
        </w:rPr>
        <w:t xml:space="preserve">8.3 Correlation &amp; Regression Observations</w:t>
      </w:r>
    </w:p>
    <w:p>
      <w:pPr>
        <w:pStyle w:val="ListParagraph"/>
        <w:numPr>
          <w:ilvl w:val="0"/>
          <w:numId w:val="2"/>
        </w:numPr>
        <w:spacing w:after="40" w:before="40"/>
      </w:pPr>
      <w:r>
        <w:rPr>
          <w:rFonts w:ascii="Arial" w:cs="Arial" w:eastAsia="Arial" w:hAnsi="Arial"/>
          <w:color w:val="1A1A1A"/>
          <w:sz w:val="20"/>
          <w:szCs w:val="20"/>
        </w:rPr>
        <w:t xml:space="preserve">Cost vs. Rating: Mild positive correlation (r ~ 0.2), indicating price is a weak but consistent predictor of rating.</w:t>
      </w:r>
    </w:p>
    <w:p>
      <w:pPr>
        <w:pStyle w:val="ListParagraph"/>
        <w:numPr>
          <w:ilvl w:val="0"/>
          <w:numId w:val="2"/>
        </w:numPr>
        <w:spacing w:after="40" w:before="40"/>
      </w:pPr>
      <w:r>
        <w:rPr>
          <w:rFonts w:ascii="Arial" w:cs="Arial" w:eastAsia="Arial" w:hAnsi="Arial"/>
          <w:color w:val="1A1A1A"/>
          <w:sz w:val="20"/>
          <w:szCs w:val="20"/>
        </w:rPr>
        <w:t xml:space="preserve">Votes vs. Rating: Moderate positive correlation (r ~ 0.35), suggesting engagement drives perceived quality.</w:t>
      </w:r>
    </w:p>
    <w:p>
      <w:pPr>
        <w:pStyle w:val="ListParagraph"/>
        <w:numPr>
          <w:ilvl w:val="0"/>
          <w:numId w:val="2"/>
        </w:numPr>
        <w:spacing w:after="40" w:before="40"/>
      </w:pPr>
      <w:r>
        <w:rPr>
          <w:rFonts w:ascii="Arial" w:cs="Arial" w:eastAsia="Arial" w:hAnsi="Arial"/>
          <w:color w:val="1A1A1A"/>
          <w:sz w:val="20"/>
          <w:szCs w:val="20"/>
        </w:rPr>
        <w:t xml:space="preserve">online_order vs. Cost: Mild negative correlation, confirming delivery restaurants are predominantly budget and mid-range.</w:t>
      </w:r>
    </w:p>
    <w:p>
      <w:pPr>
        <w:pStyle w:val="Heading2"/>
        <w:spacing w:after="80" w:before="240"/>
      </w:pPr>
      <w:r>
        <w:rPr>
          <w:rFonts w:ascii="Arial" w:cs="Arial" w:eastAsia="Arial" w:hAnsi="Arial"/>
          <w:b/>
          <w:bCs/>
          <w:color w:val="1A1A1A"/>
          <w:sz w:val="26"/>
          <w:szCs w:val="26"/>
        </w:rPr>
        <w:t xml:space="preserve">8.4 Hypothesis Observations</w:t>
      </w:r>
    </w:p>
    <w:p>
      <w:pPr>
        <w:pStyle w:val="ListParagraph"/>
        <w:numPr>
          <w:ilvl w:val="0"/>
          <w:numId w:val="2"/>
        </w:numPr>
        <w:spacing w:after="40" w:before="40"/>
      </w:pPr>
      <w:r>
        <w:rPr>
          <w:rFonts w:ascii="Arial" w:cs="Arial" w:eastAsia="Arial" w:hAnsi="Arial"/>
          <w:color w:val="1A1A1A"/>
          <w:sz w:val="20"/>
          <w:szCs w:val="20"/>
        </w:rPr>
        <w:t xml:space="preserve">Restaurants offering table booking have statistically higher average costs than those that do not, supporting the view that table booking is a premium-tier feature.</w:t>
      </w:r>
    </w:p>
    <w:p>
      <w:pPr>
        <w:pStyle w:val="ListParagraph"/>
        <w:numPr>
          <w:ilvl w:val="0"/>
          <w:numId w:val="2"/>
        </w:numPr>
        <w:spacing w:after="40" w:before="40"/>
      </w:pPr>
      <w:r>
        <w:rPr>
          <w:rFonts w:ascii="Arial" w:cs="Arial" w:eastAsia="Arial" w:hAnsi="Arial"/>
          <w:color w:val="1A1A1A"/>
          <w:sz w:val="20"/>
          <w:szCs w:val="20"/>
        </w:rPr>
        <w:t xml:space="preserve">Koramangala 5th Block restaurants show a consistently higher average rating than city-wide average, suggesting a location premium effect.</w:t>
      </w:r>
    </w:p>
    <w:p>
      <w:r>
        <w:br w:type="page"/>
      </w:r>
    </w:p>
    <w:p>
      <w:pPr>
        <w:pStyle w:val="Heading1"/>
        <w:pBdr>
          <w:bottom w:val="single" w:color="C0392B" w:sz="6" w:space="4"/>
        </w:pBdr>
        <w:spacing w:after="120" w:before="320"/>
      </w:pPr>
      <w:r>
        <w:rPr>
          <w:rFonts w:ascii="Arial" w:cs="Arial" w:eastAsia="Arial" w:hAnsi="Arial"/>
          <w:b/>
          <w:bCs/>
          <w:color w:val="C0392B"/>
          <w:sz w:val="32"/>
          <w:szCs w:val="32"/>
        </w:rPr>
        <w:t xml:space="preserve">9. Tableau Dashboard Design</w:t>
      </w:r>
    </w:p>
    <w:p>
      <w:pPr>
        <w:pStyle w:val="Heading2"/>
        <w:spacing w:after="80" w:before="240"/>
      </w:pPr>
      <w:r>
        <w:rPr>
          <w:rFonts w:ascii="Arial" w:cs="Arial" w:eastAsia="Arial" w:hAnsi="Arial"/>
          <w:b/>
          <w:bCs/>
          <w:color w:val="1A1A1A"/>
          <w:sz w:val="26"/>
          <w:szCs w:val="26"/>
        </w:rPr>
        <w:t xml:space="preserve">9.1 Dashboard Objective</w:t>
      </w:r>
    </w:p>
    <w:p>
      <w:pPr>
        <w:spacing w:after="60" w:before="60"/>
        <w:jc w:val="both"/>
      </w:pPr>
      <w:r>
        <w:rPr>
          <w:rFonts w:ascii="Arial" w:cs="Arial" w:eastAsia="Arial" w:hAnsi="Arial"/>
          <w:color w:val="1A1A1A"/>
          <w:sz w:val="20"/>
          <w:szCs w:val="20"/>
        </w:rPr>
        <w:t xml:space="preserve">The Tableau dashboard was designed to support two distinct decision-making contexts: a high-level executive view for platform strategists and investors, and an operational drill-down view for restaurant operators benchmarking their performance by location and cuisine.</w:t>
      </w:r>
    </w:p>
    <w:p>
      <w:pPr>
        <w:pStyle w:val="Heading2"/>
        <w:spacing w:after="80" w:before="240"/>
      </w:pPr>
      <w:r>
        <w:rPr>
          <w:rFonts w:ascii="Arial" w:cs="Arial" w:eastAsia="Arial" w:hAnsi="Arial"/>
          <w:b/>
          <w:bCs/>
          <w:color w:val="1A1A1A"/>
          <w:sz w:val="26"/>
          <w:szCs w:val="26"/>
        </w:rPr>
        <w:t xml:space="preserve">9.2 View Structure</w:t>
      </w:r>
    </w:p>
    <w:p>
      <w:pPr>
        <w:pStyle w:val="Heading3"/>
        <w:spacing w:after="60" w:before="160"/>
      </w:pPr>
      <w:r>
        <w:rPr>
          <w:rFonts w:ascii="Arial" w:cs="Arial" w:eastAsia="Arial" w:hAnsi="Arial"/>
          <w:b/>
          <w:bCs/>
          <w:color w:val="444444"/>
          <w:sz w:val="22"/>
          <w:szCs w:val="22"/>
        </w:rPr>
        <w:t xml:space="preserve">Page 1 — Home</w:t>
      </w:r>
    </w:p>
    <w:p>
      <w:pPr>
        <w:spacing w:after="60" w:before="60"/>
        <w:jc w:val="both"/>
      </w:pPr>
      <w:r>
        <w:rPr>
          <w:rFonts w:ascii="Arial" w:cs="Arial" w:eastAsia="Arial" w:hAnsi="Arial"/>
          <w:color w:val="1A1A1A"/>
          <w:sz w:val="20"/>
          <w:szCs w:val="20"/>
        </w:rPr>
        <w:t xml:space="preserve">Navigational landing screen with the 'Zomato Dashboard' title, a brief platform description, and two call-to-action buttons: Restaurant Summary and Order Summary. Establishes visual identity using Zomato brand red (#C0392B).</w:t>
      </w:r>
    </w:p>
    <w:p>
      <w:pPr>
        <w:pStyle w:val="Heading3"/>
        <w:spacing w:after="60" w:before="160"/>
      </w:pPr>
      <w:r>
        <w:rPr>
          <w:rFonts w:ascii="Arial" w:cs="Arial" w:eastAsia="Arial" w:hAnsi="Arial"/>
          <w:b/>
          <w:bCs/>
          <w:color w:val="444444"/>
          <w:sz w:val="22"/>
          <w:szCs w:val="22"/>
        </w:rPr>
        <w:t xml:space="preserve">Page 2 — Restaurant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Visual Component</w:t>
            </w:r>
          </w:p>
        </w:tc>
        <w:tc>
          <w:tcPr>
            <w:tcW w:type="dxa" w:w="22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Chart Type</w:t>
            </w:r>
          </w:p>
        </w:tc>
        <w:tc>
          <w:tcPr>
            <w:tcW w:type="dxa" w:w="436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Insight Provided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Average Rating</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KPI Card</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Overall average rating: 3.700</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Total Restaurants</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KPI Card</w:t>
            </w:r>
          </w:p>
        </w:tc>
        <w:tc>
          <w:tcPr>
            <w:tcW w:type="dxa" w:w="4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Unique restaurant count: 8,792</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Total Votes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KPI Card</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Cumulative votes: ~1.47 Crore</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Average Cost For Two</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KPI Card</w:t>
            </w:r>
          </w:p>
        </w:tc>
        <w:tc>
          <w:tcPr>
            <w:tcW w:type="dxa" w:w="4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Average spend per pair: ₹554.4</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Top Locations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Horizontal Bar Chart</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Whitefield leads, followed by BTM and Electronic City</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Top 10 Restaurant Types (by rating)</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Bar Chart</w:t>
            </w:r>
          </w:p>
        </w:tc>
        <w:tc>
          <w:tcPr>
            <w:tcW w:type="dxa" w:w="4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Microbrewery has highest avg rating (~4.5)</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Avg Cost by Restaurant Type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Column Chart</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Fine Dining and Clubs command the highest avg cost</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Online Order Adoption</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Pie Chart</w:t>
            </w:r>
          </w:p>
        </w:tc>
        <w:tc>
          <w:tcPr>
            <w:tcW w:type="dxa" w:w="4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58.87% Yes vs. 41.13% No</w:t>
            </w:r>
          </w:p>
        </w:tc>
      </w:tr>
    </w:tbl>
    <w:p>
      <w:pPr>
        <w:spacing w:after="0" w:before="80"/>
      </w:pPr>
    </w:p>
    <w:p>
      <w:pPr>
        <w:pStyle w:val="Heading3"/>
        <w:spacing w:after="60" w:before="160"/>
      </w:pPr>
      <w:r>
        <w:rPr>
          <w:rFonts w:ascii="Arial" w:cs="Arial" w:eastAsia="Arial" w:hAnsi="Arial"/>
          <w:b/>
          <w:bCs/>
          <w:color w:val="444444"/>
          <w:sz w:val="22"/>
          <w:szCs w:val="22"/>
        </w:rPr>
        <w:t xml:space="preserve">Page 3 — Customer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Visual Component</w:t>
            </w:r>
          </w:p>
        </w:tc>
        <w:tc>
          <w:tcPr>
            <w:tcW w:type="dxa" w:w="18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Chart Type</w:t>
            </w:r>
          </w:p>
        </w:tc>
        <w:tc>
          <w:tcPr>
            <w:tcW w:type="dxa" w:w="476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Insight Provided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Cuisine Pricing vs Customer Ratings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Scatter Plot</w:t>
            </w:r>
          </w:p>
        </w:tc>
        <w:tc>
          <w:tcPr>
            <w:tcW w:type="dxa" w:w="4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Spanish and Modern Indian cuisines have high ratings with premium pricing; local cuisines cluster mid-range.</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Cuisine Ratings Across Top Locations</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Heat Map</w:t>
            </w:r>
          </w:p>
        </w:tc>
        <w:tc>
          <w:tcPr>
            <w:tcW w:type="dxa" w:w="47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Koramangala 5th Block consistently rates highest across all cuisine types; BTM and Marathahalli tend to score lower.</w:t>
            </w:r>
          </w:p>
        </w:tc>
      </w:tr>
    </w:tbl>
    <w:p>
      <w:pPr>
        <w:spacing w:after="0" w:before="120"/>
      </w:pPr>
    </w:p>
    <w:p>
      <w:pPr>
        <w:pStyle w:val="Heading2"/>
        <w:spacing w:after="80" w:before="240"/>
      </w:pPr>
      <w:r>
        <w:rPr>
          <w:rFonts w:ascii="Arial" w:cs="Arial" w:eastAsia="Arial" w:hAnsi="Arial"/>
          <w:b/>
          <w:bCs/>
          <w:color w:val="1A1A1A"/>
          <w:sz w:val="26"/>
          <w:szCs w:val="26"/>
        </w:rPr>
        <w:t xml:space="preserve">9.3 Dashboard Design Choices</w:t>
      </w:r>
    </w:p>
    <w:p>
      <w:pPr>
        <w:pStyle w:val="ListParagraph"/>
        <w:numPr>
          <w:ilvl w:val="0"/>
          <w:numId w:val="2"/>
        </w:numPr>
        <w:spacing w:after="40" w:before="40"/>
      </w:pPr>
      <w:r>
        <w:rPr>
          <w:rFonts w:ascii="Arial" w:cs="Arial" w:eastAsia="Arial" w:hAnsi="Arial"/>
          <w:color w:val="1A1A1A"/>
          <w:sz w:val="20"/>
          <w:szCs w:val="20"/>
        </w:rPr>
        <w:t xml:space="preserve">Zomato brand red (#C0392B) was used consistently across all chart headers, KPI cards, and navigation buttons.</w:t>
      </w:r>
    </w:p>
    <w:p>
      <w:pPr>
        <w:pStyle w:val="ListParagraph"/>
        <w:numPr>
          <w:ilvl w:val="0"/>
          <w:numId w:val="2"/>
        </w:numPr>
        <w:spacing w:after="40" w:before="40"/>
      </w:pPr>
      <w:r>
        <w:rPr>
          <w:rFonts w:ascii="Arial" w:cs="Arial" w:eastAsia="Arial" w:hAnsi="Arial"/>
          <w:color w:val="1A1A1A"/>
          <w:sz w:val="20"/>
          <w:szCs w:val="20"/>
        </w:rPr>
        <w:t xml:space="preserve">Interactive tooltips were enabled on all charts to allow drill-down exploration without cluttering the view.</w:t>
      </w:r>
    </w:p>
    <w:p>
      <w:pPr>
        <w:pStyle w:val="ListParagraph"/>
        <w:numPr>
          <w:ilvl w:val="0"/>
          <w:numId w:val="2"/>
        </w:numPr>
        <w:spacing w:after="40" w:before="40"/>
      </w:pPr>
      <w:r>
        <w:rPr>
          <w:rFonts w:ascii="Arial" w:cs="Arial" w:eastAsia="Arial" w:hAnsi="Arial"/>
          <w:color w:val="1A1A1A"/>
          <w:sz w:val="20"/>
          <w:szCs w:val="20"/>
        </w:rPr>
        <w:t xml:space="preserve">Horizontal bar charts were chosen for Top Locations to enable easy length comparison across many categories.</w:t>
      </w:r>
    </w:p>
    <w:p>
      <w:pPr>
        <w:pStyle w:val="ListParagraph"/>
        <w:numPr>
          <w:ilvl w:val="0"/>
          <w:numId w:val="2"/>
        </w:numPr>
        <w:spacing w:after="40" w:before="40"/>
      </w:pPr>
      <w:r>
        <w:rPr>
          <w:rFonts w:ascii="Arial" w:cs="Arial" w:eastAsia="Arial" w:hAnsi="Arial"/>
          <w:color w:val="1A1A1A"/>
          <w:sz w:val="20"/>
          <w:szCs w:val="20"/>
        </w:rPr>
        <w:t xml:space="preserve">A heat map was chosen for Cuisine Ratings Across Locations because it efficiently encodes a two-dimensional matrix of values with colour intensity.</w:t>
      </w:r>
    </w:p>
    <w:p>
      <w:pPr>
        <w:pStyle w:val="ListParagraph"/>
        <w:numPr>
          <w:ilvl w:val="0"/>
          <w:numId w:val="2"/>
        </w:numPr>
        <w:spacing w:after="40" w:before="40"/>
      </w:pPr>
      <w:r>
        <w:rPr>
          <w:rFonts w:ascii="Arial" w:cs="Arial" w:eastAsia="Arial" w:hAnsi="Arial"/>
          <w:color w:val="1A1A1A"/>
          <w:sz w:val="20"/>
          <w:szCs w:val="20"/>
        </w:rPr>
        <w:t xml:space="preserve">Scatter plots were used for Cuisine Pricing vs. Ratings to reveal the relationship between two continuous variables simultaneously.</w:t>
      </w:r>
    </w:p>
    <w:p>
      <w:r>
        <w:br w:type="page"/>
      </w:r>
    </w:p>
    <w:p>
      <w:pPr>
        <w:pStyle w:val="Heading1"/>
        <w:pBdr>
          <w:bottom w:val="single" w:color="C0392B" w:sz="6" w:space="4"/>
        </w:pBdr>
        <w:spacing w:after="120" w:before="320"/>
      </w:pPr>
      <w:r>
        <w:rPr>
          <w:rFonts w:ascii="Arial" w:cs="Arial" w:eastAsia="Arial" w:hAnsi="Arial"/>
          <w:b/>
          <w:bCs/>
          <w:color w:val="C0392B"/>
          <w:sz w:val="32"/>
          <w:szCs w:val="32"/>
        </w:rPr>
        <w:t xml:space="preserve">10. Insights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500"/>
        <w:gridCol w:w="5500"/>
      </w:tblGrid>
      <w:tr>
        <w:trPr>
          <w:tblHeader/>
        </w:trPr>
        <w:tc>
          <w:tcPr>
            <w:tcW w:type="dxa" w:w="36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35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Insight</w:t>
            </w:r>
          </w:p>
        </w:tc>
        <w:tc>
          <w:tcPr>
            <w:tcW w:type="dxa" w:w="55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Business Implication</w:t>
            </w:r>
          </w:p>
        </w:tc>
      </w:tr>
      <w:tr>
        <w:tc>
          <w:tcPr>
            <w:tcW w:type="dxa" w:w="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w:t>
            </w:r>
          </w:p>
        </w:tc>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Most restaurants rate between 3.6 and 4.0; scores below 3.0 are extremely rare.</w:t>
            </w:r>
          </w:p>
        </w:tc>
        <w:tc>
          <w:tcPr>
            <w:tcW w:type="dxa" w:w="5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Zomato's listing quality is broadly consistent — the competitive battleground is in the 3.6–4.2 range, not at the extremes.</w:t>
            </w:r>
          </w:p>
        </w:tc>
      </w:tr>
      <w:tr>
        <w:tc>
          <w:tcPr>
            <w:tcW w:type="dxa" w:w="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w:t>
            </w:r>
          </w:p>
        </w:tc>
        <w:tc>
          <w:tcPr>
            <w:tcW w:type="dxa" w:w="3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65.3% of restaurants support online ordering, reflecting strong digital adoption.</w:t>
            </w:r>
          </w:p>
        </w:tc>
        <w:tc>
          <w:tcPr>
            <w:tcW w:type="dxa" w:w="5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Delivery infrastructure investment is validated — the majority of the ecosystem has already transitioned to digital.</w:t>
            </w:r>
          </w:p>
        </w:tc>
      </w:tr>
      <w:tr>
        <w:tc>
          <w:tcPr>
            <w:tcW w:type="dxa" w:w="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w:t>
            </w:r>
          </w:p>
        </w:tc>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Only 15.1% of restaurants offer table booking — a largely untapped feature.</w:t>
            </w:r>
          </w:p>
        </w:tc>
        <w:tc>
          <w:tcPr>
            <w:tcW w:type="dxa" w:w="5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Zomato has a significant expansion opportunity by onboarding mid-range restaurants into its reservation system.</w:t>
            </w:r>
          </w:p>
        </w:tc>
      </w:tr>
      <w:tr>
        <w:tc>
          <w:tcPr>
            <w:tcW w:type="dxa" w:w="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w:t>
            </w:r>
          </w:p>
        </w:tc>
        <w:tc>
          <w:tcPr>
            <w:tcW w:type="dxa" w:w="3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Koramangala 5th Block has the highest average rating (4.01) and high average cost (₹678).</w:t>
            </w:r>
          </w:p>
        </w:tc>
        <w:tc>
          <w:tcPr>
            <w:tcW w:type="dxa" w:w="5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Premium, well-curated localities sustain both quality and price premiums — a replicable model for other areas.</w:t>
            </w:r>
          </w:p>
        </w:tc>
      </w:tr>
      <w:tr>
        <w:tc>
          <w:tcPr>
            <w:tcW w:type="dxa" w:w="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w:t>
            </w:r>
          </w:p>
        </w:tc>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BTM has the most restaurants (3,930) but below-average rating (3.57).</w:t>
            </w:r>
          </w:p>
        </w:tc>
        <w:tc>
          <w:tcPr>
            <w:tcW w:type="dxa" w:w="5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High density does not imply high quality — targeted quality programmes in BTM could yield significant platform-level gains.</w:t>
            </w:r>
          </w:p>
        </w:tc>
      </w:tr>
      <w:tr>
        <w:tc>
          <w:tcPr>
            <w:tcW w:type="dxa" w:w="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w:t>
            </w:r>
          </w:p>
        </w:tc>
        <w:tc>
          <w:tcPr>
            <w:tcW w:type="dxa" w:w="3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Higher cost restaurants have marginally better ratings (mild positive correlation).</w:t>
            </w:r>
          </w:p>
        </w:tc>
        <w:tc>
          <w:tcPr>
            <w:tcW w:type="dxa" w:w="5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Price is a signal of quality, but not a guarantee — mid-range restaurants with high ratings represent strong value for consumers.</w:t>
            </w:r>
          </w:p>
        </w:tc>
      </w:tr>
      <w:tr>
        <w:tc>
          <w:tcPr>
            <w:tcW w:type="dxa" w:w="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w:t>
            </w:r>
          </w:p>
        </w:tc>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Microbreweries have the highest average rating among all restaurant types.</w:t>
            </w:r>
          </w:p>
        </w:tc>
        <w:tc>
          <w:tcPr>
            <w:tcW w:type="dxa" w:w="5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Experiential dining categories outperform standard categories on perceived quality — a growth segment.</w:t>
            </w:r>
          </w:p>
        </w:tc>
      </w:tr>
      <w:tr>
        <w:tc>
          <w:tcPr>
            <w:tcW w:type="dxa" w:w="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w:t>
            </w:r>
          </w:p>
        </w:tc>
        <w:tc>
          <w:tcPr>
            <w:tcW w:type="dxa" w:w="3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Spanish, German, and Modern Indian cuisines command above-average pricing with high ratings.</w:t>
            </w:r>
          </w:p>
        </w:tc>
        <w:tc>
          <w:tcPr>
            <w:tcW w:type="dxa" w:w="5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Premium cuisine categories attract quality-conscious consumers — an underserved segment for platform promotion.</w:t>
            </w:r>
          </w:p>
        </w:tc>
      </w:tr>
      <w:tr>
        <w:tc>
          <w:tcPr>
            <w:tcW w:type="dxa" w:w="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w:t>
            </w:r>
          </w:p>
        </w:tc>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Online-ordering restaurants have lower average costs than dine-in establishments.</w:t>
            </w:r>
          </w:p>
        </w:tc>
        <w:tc>
          <w:tcPr>
            <w:tcW w:type="dxa" w:w="5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Delivery and dine-in segments are structurally distinct — platform strategies should be tailored per segment.</w:t>
            </w:r>
          </w:p>
        </w:tc>
      </w:tr>
      <w:tr>
        <w:tc>
          <w:tcPr>
            <w:tcW w:type="dxa" w:w="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w:t>
            </w:r>
          </w:p>
        </w:tc>
        <w:tc>
          <w:tcPr>
            <w:tcW w:type="dxa" w:w="3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The premium restaurant segment (cost above ₹700) represents only 24.84% of listings.</w:t>
            </w:r>
          </w:p>
        </w:tc>
        <w:tc>
          <w:tcPr>
            <w:tcW w:type="dxa" w:w="5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Premium is a minority segment but likely drives disproportionate revenue per order — warranting targeted platform features.</w:t>
            </w:r>
          </w:p>
        </w:tc>
      </w:tr>
    </w:tbl>
    <w:p>
      <w:r>
        <w:br w:type="page"/>
      </w:r>
    </w:p>
    <w:p>
      <w:pPr>
        <w:pStyle w:val="Heading1"/>
        <w:pBdr>
          <w:bottom w:val="single" w:color="C0392B" w:sz="6" w:space="4"/>
        </w:pBdr>
        <w:spacing w:after="120" w:before="320"/>
      </w:pPr>
      <w:r>
        <w:rPr>
          <w:rFonts w:ascii="Arial" w:cs="Arial" w:eastAsia="Arial" w:hAnsi="Arial"/>
          <w:b/>
          <w:bCs/>
          <w:color w:val="C0392B"/>
          <w:sz w:val="32"/>
          <w:szCs w:val="32"/>
        </w:rPr>
        <w:t xml:space="preserve">11.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42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Recommendation</w:t>
            </w:r>
          </w:p>
        </w:tc>
        <w:tc>
          <w:tcPr>
            <w:tcW w:type="dxa" w:w="396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Business Impact</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 High</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Target high-density, lower-rated localities (e.g., BTM, Marathahalli) with quality improvement programmes — training resources, review response tools, and rating recovery dashboards.</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Even a 0.2-point average rating improvement across 3,930 BTM restaurants could significantly lift platform-wide NPS and customer retention.</w:t>
            </w:r>
          </w:p>
        </w:tc>
      </w:tr>
      <w:tr>
        <w:tc>
          <w:tcPr>
            <w:tcW w:type="dxa" w:w="1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 — High</w:t>
            </w:r>
          </w:p>
        </w:tc>
        <w:tc>
          <w:tcPr>
            <w:tcW w:type="dxa" w:w="4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Accelerate table booking adoption among mid-range restaurants (currently 15.1%). Offer incentivised onboarding, simplified booking widgets, and co-marketing support.</w:t>
            </w:r>
          </w:p>
        </w:tc>
        <w:tc>
          <w:tcPr>
            <w:tcW w:type="dxa" w:w="39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Doubling table booking penetration to 30% would expand Zomato's addressable revenue per visit and differentiate the platform from pure-delivery competitors.</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 — Medium</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Promote premium and niche cuisine categories (Spanish, Modern Indian, Microbreweries) through curated collections and featured placements.</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These categories consistently outperform on ratings — showcasing them drives user discovery of high-quality experiences and increases order value.</w:t>
            </w:r>
          </w:p>
        </w:tc>
      </w:tr>
      <w:tr>
        <w:tc>
          <w:tcPr>
            <w:tcW w:type="dxa" w:w="1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 — Medium</w:t>
            </w:r>
          </w:p>
        </w:tc>
        <w:tc>
          <w:tcPr>
            <w:tcW w:type="dxa" w:w="4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Build segment-specific dashboards for restaurant owners, giving them real-time access to location benchmarks, cuisine comparisons, and competitor ratings.</w:t>
            </w:r>
          </w:p>
        </w:tc>
        <w:tc>
          <w:tcPr>
            <w:tcW w:type="dxa" w:w="39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Empowering restaurant operators with data reduces churn and increases platform loyalty — operators who see ROI stay on Zomato.</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 — Low</w:t>
            </w:r>
          </w:p>
        </w:tc>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Investigate the ~10,052 restaurants with missing ratings — likely newer listings. Prioritise verified review collection for this cohort.</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Activating this latent segment with genuine ratings adds analytical coverage and improves the platform's quality signal for consumers.</w:t>
            </w:r>
          </w:p>
        </w:tc>
      </w:tr>
    </w:tbl>
    <w:p>
      <w:r>
        <w:br w:type="page"/>
      </w:r>
    </w:p>
    <w:p>
      <w:pPr>
        <w:pStyle w:val="Heading1"/>
        <w:pBdr>
          <w:bottom w:val="single" w:color="C0392B" w:sz="6" w:space="4"/>
        </w:pBdr>
        <w:spacing w:after="120" w:before="320"/>
      </w:pPr>
      <w:r>
        <w:rPr>
          <w:rFonts w:ascii="Arial" w:cs="Arial" w:eastAsia="Arial" w:hAnsi="Arial"/>
          <w:b/>
          <w:bCs/>
          <w:color w:val="C0392B"/>
          <w:sz w:val="32"/>
          <w:szCs w:val="32"/>
        </w:rPr>
        <w:t xml:space="preserve">12. Impact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Recommendation</w:t>
            </w:r>
          </w:p>
        </w:tc>
        <w:tc>
          <w:tcPr>
            <w:tcW w:type="dxa" w:w="28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Estimated Impact</w:t>
            </w:r>
          </w:p>
        </w:tc>
        <w:tc>
          <w:tcPr>
            <w:tcW w:type="dxa" w:w="376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Basis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Quality improvement in BTM</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5–10% increase in repeat orders from improved-rating restaurants</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Rating improvement correlates with higher customer trust and repeat visit rate</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Table booking expansion to 30%</w:t>
            </w:r>
          </w:p>
        </w:tc>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15–20% increase in per-visit revenue for participating restaurants</w:t>
            </w:r>
          </w:p>
        </w:tc>
        <w:tc>
          <w:tcPr>
            <w:tcW w:type="dxa" w:w="37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Table-booking restaurants have higher average cost and dine-in transaction value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Premium cuisine promotion</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10–15% uplift in order value for promoted categories</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Premium cuisines command above-average pricing with high customer satisfaction</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Restaurant owner dashboards</w:t>
            </w:r>
          </w:p>
        </w:tc>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Reduced annual restaurant churn by 10–15%</w:t>
            </w:r>
          </w:p>
        </w:tc>
        <w:tc>
          <w:tcPr>
            <w:tcW w:type="dxa" w:w="37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Data-informed operators make better decisions and see measurable platform value</w:t>
            </w:r>
          </w:p>
        </w:tc>
      </w:tr>
    </w:tbl>
    <w:p>
      <w:r>
        <w:br w:type="page"/>
      </w:r>
    </w:p>
    <w:p>
      <w:pPr>
        <w:pStyle w:val="Heading1"/>
        <w:pBdr>
          <w:bottom w:val="single" w:color="C0392B" w:sz="6" w:space="4"/>
        </w:pBdr>
        <w:spacing w:after="120" w:before="320"/>
      </w:pPr>
      <w:r>
        <w:rPr>
          <w:rFonts w:ascii="Arial" w:cs="Arial" w:eastAsia="Arial" w:hAnsi="Arial"/>
          <w:b/>
          <w:bCs/>
          <w:color w:val="C0392B"/>
          <w:sz w:val="32"/>
          <w:szCs w:val="32"/>
        </w:rPr>
        <w:t xml:space="preserve">13. Limitations</w:t>
      </w:r>
    </w:p>
    <w:p>
      <w:pPr>
        <w:pStyle w:val="ListParagraph"/>
        <w:numPr>
          <w:ilvl w:val="0"/>
          <w:numId w:val="2"/>
        </w:numPr>
        <w:spacing w:after="40" w:before="40"/>
      </w:pPr>
      <w:r>
        <w:rPr>
          <w:rFonts w:ascii="Arial" w:cs="Arial" w:eastAsia="Arial" w:hAnsi="Arial"/>
          <w:color w:val="1A1A1A"/>
          <w:sz w:val="20"/>
          <w:szCs w:val="20"/>
        </w:rPr>
        <w:t xml:space="preserve">The dataset represents a snapshot in time; trends may have shifted significantly post-2020 due to the pandemic's impact on the dining industry.</w:t>
      </w:r>
    </w:p>
    <w:p>
      <w:pPr>
        <w:pStyle w:val="ListParagraph"/>
        <w:numPr>
          <w:ilvl w:val="0"/>
          <w:numId w:val="2"/>
        </w:numPr>
        <w:spacing w:after="40" w:before="40"/>
      </w:pPr>
      <w:r>
        <w:rPr>
          <w:rFonts w:ascii="Arial" w:cs="Arial" w:eastAsia="Arial" w:hAnsi="Arial"/>
          <w:color w:val="1A1A1A"/>
          <w:sz w:val="20"/>
          <w:szCs w:val="20"/>
        </w:rPr>
        <w:t xml:space="preserve">Rating imputation (mean fill for ~10,052 rows) may slightly dampen the true rating variance in the dataset.</w:t>
      </w:r>
    </w:p>
    <w:p>
      <w:pPr>
        <w:pStyle w:val="ListParagraph"/>
        <w:numPr>
          <w:ilvl w:val="0"/>
          <w:numId w:val="2"/>
        </w:numPr>
        <w:spacing w:after="40" w:before="40"/>
      </w:pPr>
      <w:r>
        <w:rPr>
          <w:rFonts w:ascii="Arial" w:cs="Arial" w:eastAsia="Arial" w:hAnsi="Arial"/>
          <w:color w:val="1A1A1A"/>
          <w:sz w:val="20"/>
          <w:szCs w:val="20"/>
        </w:rPr>
        <w:t xml:space="preserve">The simplification of multi-cuisine and multi-type values to the primary category loses nuance in restaurant profiling.</w:t>
      </w:r>
    </w:p>
    <w:p>
      <w:pPr>
        <w:pStyle w:val="ListParagraph"/>
        <w:numPr>
          <w:ilvl w:val="0"/>
          <w:numId w:val="2"/>
        </w:numPr>
        <w:spacing w:after="40" w:before="40"/>
      </w:pPr>
      <w:r>
        <w:rPr>
          <w:rFonts w:ascii="Arial" w:cs="Arial" w:eastAsia="Arial" w:hAnsi="Arial"/>
          <w:color w:val="1A1A1A"/>
          <w:sz w:val="20"/>
          <w:szCs w:val="20"/>
        </w:rPr>
        <w:t xml:space="preserve">Geographic analysis is limited to Bengaluru — conclusions should not be generalised to other Indian cities without validation.</w:t>
      </w:r>
    </w:p>
    <w:p>
      <w:pPr>
        <w:pStyle w:val="ListParagraph"/>
        <w:numPr>
          <w:ilvl w:val="0"/>
          <w:numId w:val="2"/>
        </w:numPr>
        <w:spacing w:after="40" w:before="40"/>
      </w:pPr>
      <w:r>
        <w:rPr>
          <w:rFonts w:ascii="Arial" w:cs="Arial" w:eastAsia="Arial" w:hAnsi="Arial"/>
          <w:color w:val="1A1A1A"/>
          <w:sz w:val="20"/>
          <w:szCs w:val="20"/>
        </w:rPr>
        <w:t xml:space="preserve">The dataset does not include temporal data (date of review, order volume over time), preventing trend analysis.</w:t>
      </w:r>
    </w:p>
    <w:p>
      <w:pPr>
        <w:pStyle w:val="Heading1"/>
        <w:pBdr>
          <w:bottom w:val="single" w:color="C0392B" w:sz="6" w:space="4"/>
        </w:pBdr>
        <w:spacing w:after="120" w:before="320"/>
      </w:pPr>
      <w:r>
        <w:rPr>
          <w:rFonts w:ascii="Arial" w:cs="Arial" w:eastAsia="Arial" w:hAnsi="Arial"/>
          <w:b/>
          <w:bCs/>
          <w:color w:val="C0392B"/>
          <w:sz w:val="32"/>
          <w:szCs w:val="32"/>
        </w:rPr>
        <w:t xml:space="preserve">14. Future Scope</w:t>
      </w:r>
    </w:p>
    <w:p>
      <w:pPr>
        <w:pStyle w:val="ListParagraph"/>
        <w:numPr>
          <w:ilvl w:val="0"/>
          <w:numId w:val="2"/>
        </w:numPr>
        <w:spacing w:after="40" w:before="40"/>
      </w:pPr>
      <w:r>
        <w:rPr>
          <w:rFonts w:ascii="Arial" w:cs="Arial" w:eastAsia="Arial" w:hAnsi="Arial"/>
          <w:color w:val="1A1A1A"/>
          <w:sz w:val="20"/>
          <w:szCs w:val="20"/>
        </w:rPr>
        <w:t xml:space="preserve">Incorporate real-time or time-series data to track rating and pricing trends over months and years.</w:t>
      </w:r>
    </w:p>
    <w:p>
      <w:pPr>
        <w:pStyle w:val="ListParagraph"/>
        <w:numPr>
          <w:ilvl w:val="0"/>
          <w:numId w:val="2"/>
        </w:numPr>
        <w:spacing w:after="40" w:before="40"/>
      </w:pPr>
      <w:r>
        <w:rPr>
          <w:rFonts w:ascii="Arial" w:cs="Arial" w:eastAsia="Arial" w:hAnsi="Arial"/>
          <w:color w:val="1A1A1A"/>
          <w:sz w:val="20"/>
          <w:szCs w:val="20"/>
        </w:rPr>
        <w:t xml:space="preserve">Build a predictive rating model using Scikit-learn (regression or classification) to forecast restaurant performance based on features such as location, cuisine, and cost.</w:t>
      </w:r>
    </w:p>
    <w:p>
      <w:pPr>
        <w:pStyle w:val="ListParagraph"/>
        <w:numPr>
          <w:ilvl w:val="0"/>
          <w:numId w:val="2"/>
        </w:numPr>
        <w:spacing w:after="40" w:before="40"/>
      </w:pPr>
      <w:r>
        <w:rPr>
          <w:rFonts w:ascii="Arial" w:cs="Arial" w:eastAsia="Arial" w:hAnsi="Arial"/>
          <w:color w:val="1A1A1A"/>
          <w:sz w:val="20"/>
          <w:szCs w:val="20"/>
        </w:rPr>
        <w:t xml:space="preserve">Expand analysis to multiple cities (Mumbai, Delhi, Hyderabad) to enable cross-market comparison.</w:t>
      </w:r>
    </w:p>
    <w:p>
      <w:pPr>
        <w:pStyle w:val="ListParagraph"/>
        <w:numPr>
          <w:ilvl w:val="0"/>
          <w:numId w:val="2"/>
        </w:numPr>
        <w:spacing w:after="40" w:before="40"/>
      </w:pPr>
      <w:r>
        <w:rPr>
          <w:rFonts w:ascii="Arial" w:cs="Arial" w:eastAsia="Arial" w:hAnsi="Arial"/>
          <w:color w:val="1A1A1A"/>
          <w:sz w:val="20"/>
          <w:szCs w:val="20"/>
        </w:rPr>
        <w:t xml:space="preserve">Integrate additional data sources such as Google Maps ratings, social media sentiment, and delivery time metrics to enrich the feature set.</w:t>
      </w:r>
    </w:p>
    <w:p>
      <w:pPr>
        <w:pStyle w:val="ListParagraph"/>
        <w:numPr>
          <w:ilvl w:val="0"/>
          <w:numId w:val="2"/>
        </w:numPr>
        <w:spacing w:after="40" w:before="40"/>
      </w:pPr>
      <w:r>
        <w:rPr>
          <w:rFonts w:ascii="Arial" w:cs="Arial" w:eastAsia="Arial" w:hAnsi="Arial"/>
          <w:color w:val="1A1A1A"/>
          <w:sz w:val="20"/>
          <w:szCs w:val="20"/>
        </w:rPr>
        <w:t xml:space="preserve">Develop a real-time Tableau dashboard connected to a live database rather than a static CSV.</w:t>
      </w:r>
    </w:p>
    <w:p>
      <w:r>
        <w:br w:type="page"/>
      </w:r>
    </w:p>
    <w:p>
      <w:pPr>
        <w:pStyle w:val="Heading1"/>
        <w:pBdr>
          <w:bottom w:val="single" w:color="C0392B" w:sz="6" w:space="4"/>
        </w:pBdr>
        <w:spacing w:after="120" w:before="320"/>
      </w:pPr>
      <w:r>
        <w:rPr>
          <w:rFonts w:ascii="Arial" w:cs="Arial" w:eastAsia="Arial" w:hAnsi="Arial"/>
          <w:b/>
          <w:bCs/>
          <w:color w:val="C0392B"/>
          <w:sz w:val="32"/>
          <w:szCs w:val="32"/>
        </w:rPr>
        <w:t xml:space="preserve">15. Conclusion</w:t>
      </w:r>
    </w:p>
    <w:p>
      <w:pPr>
        <w:spacing w:after="60" w:before="60"/>
        <w:jc w:val="both"/>
      </w:pPr>
      <w:r>
        <w:rPr>
          <w:rFonts w:ascii="Arial" w:cs="Arial" w:eastAsia="Arial" w:hAnsi="Arial"/>
          <w:color w:val="1A1A1A"/>
          <w:sz w:val="20"/>
          <w:szCs w:val="20"/>
        </w:rPr>
        <w:t xml:space="preserve">This project successfully demonstrates an end-to-end data analytics workflow applied to a real-world food-tech dataset. Beginning with a raw, noisy 51,717-record Kaggle dataset, the team designed and implemented a robust Python ETL pipeline that produced a fully clean, analysis-ready dataset with zero missing values. Structured EDA in Jupyter Notebooks surfaced ten actionable insights about Bengaluru's restaurant ecosystem — from the dominance of online ordering and the niche nature of table booking, to the quality premium commanded by Koramangala 5th Block and premium cuisine categories. These findings were translated into five prioritised, impact-mapped recommendations and communicated through a three-page interactive Tableau dashboard. The methodology and tools employed here can be readily extended to larger datasets, real-time streaming pipelines, or predictive modelling exercises such as rating prediction and demand forecasting.</w:t>
      </w:r>
    </w:p>
    <w:p>
      <w:r>
        <w:br w:type="page"/>
      </w:r>
    </w:p>
    <w:p>
      <w:pPr>
        <w:pStyle w:val="Heading1"/>
        <w:pBdr>
          <w:bottom w:val="single" w:color="C0392B" w:sz="6" w:space="4"/>
        </w:pBdr>
        <w:spacing w:after="120" w:before="320"/>
      </w:pPr>
      <w:r>
        <w:rPr>
          <w:rFonts w:ascii="Arial" w:cs="Arial" w:eastAsia="Arial" w:hAnsi="Arial"/>
          <w:b/>
          <w:bCs/>
          <w:color w:val="C0392B"/>
          <w:sz w:val="32"/>
          <w:szCs w:val="32"/>
        </w:rPr>
        <w:t xml:space="preserve">16. References</w:t>
      </w:r>
    </w:p>
    <w:p>
      <w:pPr>
        <w:pStyle w:val="ListParagraph"/>
        <w:numPr>
          <w:ilvl w:val="0"/>
          <w:numId w:val="2"/>
        </w:numPr>
        <w:spacing w:after="40" w:before="40"/>
      </w:pPr>
      <w:r>
        <w:rPr>
          <w:rFonts w:ascii="Arial" w:cs="Arial" w:eastAsia="Arial" w:hAnsi="Arial"/>
          <w:color w:val="1A1A1A"/>
          <w:sz w:val="20"/>
          <w:szCs w:val="20"/>
        </w:rPr>
        <w:t xml:space="preserve">Zomato Restaurant Dataset — Kaggle: https://www.kaggle.com/datasets/himanshupoddar/zomato-bangalore-restaurants</w:t>
      </w:r>
    </w:p>
    <w:p>
      <w:pPr>
        <w:pStyle w:val="ListParagraph"/>
        <w:numPr>
          <w:ilvl w:val="0"/>
          <w:numId w:val="2"/>
        </w:numPr>
        <w:spacing w:after="40" w:before="40"/>
      </w:pPr>
      <w:r>
        <w:rPr>
          <w:rFonts w:ascii="Arial" w:cs="Arial" w:eastAsia="Arial" w:hAnsi="Arial"/>
          <w:color w:val="1A1A1A"/>
          <w:sz w:val="20"/>
          <w:szCs w:val="20"/>
        </w:rPr>
        <w:t xml:space="preserve">GitHub Repository: https://github.com/Kaustubh0505/C_G15_dvaCapstone</w:t>
      </w:r>
    </w:p>
    <w:p>
      <w:pPr>
        <w:pStyle w:val="ListParagraph"/>
        <w:numPr>
          <w:ilvl w:val="0"/>
          <w:numId w:val="2"/>
        </w:numPr>
        <w:spacing w:after="40" w:before="40"/>
      </w:pPr>
      <w:r>
        <w:rPr>
          <w:rFonts w:ascii="Arial" w:cs="Arial" w:eastAsia="Arial" w:hAnsi="Arial"/>
          <w:color w:val="1A1A1A"/>
          <w:sz w:val="20"/>
          <w:szCs w:val="20"/>
        </w:rPr>
        <w:t xml:space="preserve">Pandas Documentation: https://pandas.pydata.org/docs/</w:t>
      </w:r>
    </w:p>
    <w:p>
      <w:pPr>
        <w:pStyle w:val="ListParagraph"/>
        <w:numPr>
          <w:ilvl w:val="0"/>
          <w:numId w:val="2"/>
        </w:numPr>
        <w:spacing w:after="40" w:before="40"/>
      </w:pPr>
      <w:r>
        <w:rPr>
          <w:rFonts w:ascii="Arial" w:cs="Arial" w:eastAsia="Arial" w:hAnsi="Arial"/>
          <w:color w:val="1A1A1A"/>
          <w:sz w:val="20"/>
          <w:szCs w:val="20"/>
        </w:rPr>
        <w:t xml:space="preserve">Seaborn Documentation: https://seaborn.pydata.org/</w:t>
      </w:r>
    </w:p>
    <w:p>
      <w:pPr>
        <w:pStyle w:val="ListParagraph"/>
        <w:numPr>
          <w:ilvl w:val="0"/>
          <w:numId w:val="2"/>
        </w:numPr>
        <w:spacing w:after="40" w:before="40"/>
      </w:pPr>
      <w:r>
        <w:rPr>
          <w:rFonts w:ascii="Arial" w:cs="Arial" w:eastAsia="Arial" w:hAnsi="Arial"/>
          <w:color w:val="1A1A1A"/>
          <w:sz w:val="20"/>
          <w:szCs w:val="20"/>
        </w:rPr>
        <w:t xml:space="preserve">Matplotlib Documentation: https://matplotlib.org/stable/</w:t>
      </w:r>
    </w:p>
    <w:p>
      <w:pPr>
        <w:pStyle w:val="ListParagraph"/>
        <w:numPr>
          <w:ilvl w:val="0"/>
          <w:numId w:val="2"/>
        </w:numPr>
        <w:spacing w:after="40" w:before="40"/>
      </w:pPr>
      <w:r>
        <w:rPr>
          <w:rFonts w:ascii="Arial" w:cs="Arial" w:eastAsia="Arial" w:hAnsi="Arial"/>
          <w:color w:val="1A1A1A"/>
          <w:sz w:val="20"/>
          <w:szCs w:val="20"/>
        </w:rPr>
        <w:t xml:space="preserve">Tableau Public: https://public.tableau.com/</w:t>
      </w:r>
    </w:p>
    <w:p>
      <w:pPr>
        <w:pStyle w:val="ListParagraph"/>
        <w:numPr>
          <w:ilvl w:val="0"/>
          <w:numId w:val="2"/>
        </w:numPr>
        <w:spacing w:after="40" w:before="40"/>
      </w:pPr>
      <w:r>
        <w:rPr>
          <w:rFonts w:ascii="Arial" w:cs="Arial" w:eastAsia="Arial" w:hAnsi="Arial"/>
          <w:color w:val="1A1A1A"/>
          <w:sz w:val="20"/>
          <w:szCs w:val="20"/>
        </w:rPr>
        <w:t xml:space="preserve">NumPy Documentation: https://numpy.org/doc/</w:t>
      </w:r>
    </w:p>
    <w:p>
      <w:r>
        <w:br w:type="page"/>
      </w:r>
    </w:p>
    <w:p>
      <w:pPr>
        <w:pStyle w:val="Heading1"/>
        <w:pBdr>
          <w:bottom w:val="single" w:color="C0392B" w:sz="6" w:space="4"/>
        </w:pBdr>
        <w:spacing w:after="120" w:before="320"/>
      </w:pPr>
      <w:r>
        <w:rPr>
          <w:rFonts w:ascii="Arial" w:cs="Arial" w:eastAsia="Arial" w:hAnsi="Arial"/>
          <w:b/>
          <w:bCs/>
          <w:color w:val="C0392B"/>
          <w:sz w:val="32"/>
          <w:szCs w:val="32"/>
        </w:rPr>
        <w:t xml:space="preserve">17. Appendix</w:t>
      </w:r>
    </w:p>
    <w:p>
      <w:pPr>
        <w:pStyle w:val="Heading2"/>
        <w:spacing w:after="80" w:before="240"/>
      </w:pPr>
      <w:r>
        <w:rPr>
          <w:rFonts w:ascii="Arial" w:cs="Arial" w:eastAsia="Arial" w:hAnsi="Arial"/>
          <w:b/>
          <w:bCs/>
          <w:color w:val="1A1A1A"/>
          <w:sz w:val="26"/>
          <w:szCs w:val="26"/>
        </w:rPr>
        <w:t xml:space="preserve">A. Additional EDA Observations</w:t>
      </w:r>
    </w:p>
    <w:p>
      <w:pPr>
        <w:pStyle w:val="ListParagraph"/>
        <w:numPr>
          <w:ilvl w:val="0"/>
          <w:numId w:val="2"/>
        </w:numPr>
        <w:spacing w:after="40" w:before="40"/>
      </w:pPr>
      <w:r>
        <w:rPr>
          <w:rFonts w:ascii="Arial" w:cs="Arial" w:eastAsia="Arial" w:hAnsi="Arial"/>
          <w:color w:val="1A1A1A"/>
          <w:sz w:val="20"/>
          <w:szCs w:val="20"/>
        </w:rPr>
        <w:t xml:space="preserve">Votes distribution is extremely right-skewed — a small number of highly popular restaurants account for the majority of total votes.</w:t>
      </w:r>
    </w:p>
    <w:p>
      <w:pPr>
        <w:pStyle w:val="ListParagraph"/>
        <w:numPr>
          <w:ilvl w:val="0"/>
          <w:numId w:val="2"/>
        </w:numPr>
        <w:spacing w:after="40" w:before="40"/>
      </w:pPr>
      <w:r>
        <w:rPr>
          <w:rFonts w:ascii="Arial" w:cs="Arial" w:eastAsia="Arial" w:hAnsi="Arial"/>
          <w:color w:val="1A1A1A"/>
          <w:sz w:val="20"/>
          <w:szCs w:val="20"/>
        </w:rPr>
        <w:t xml:space="preserve">Cuisine variety: North Indian and Chinese are the most common primary cuisines; niche categories (Spanish, German) are rare but high-rated.</w:t>
      </w:r>
    </w:p>
    <w:p>
      <w:pPr>
        <w:pStyle w:val="ListParagraph"/>
        <w:numPr>
          <w:ilvl w:val="0"/>
          <w:numId w:val="2"/>
        </w:numPr>
        <w:spacing w:after="40" w:before="40"/>
      </w:pPr>
      <w:r>
        <w:rPr>
          <w:rFonts w:ascii="Arial" w:cs="Arial" w:eastAsia="Arial" w:hAnsi="Arial"/>
          <w:color w:val="1A1A1A"/>
          <w:sz w:val="20"/>
          <w:szCs w:val="20"/>
        </w:rPr>
        <w:t xml:space="preserve">Restaurant type distribution: Quick Bites is the most common type, followed by Casual Dining and Cafes.</w:t>
      </w:r>
    </w:p>
    <w:p>
      <w:pPr>
        <w:pStyle w:val="Heading2"/>
        <w:spacing w:after="80" w:before="240"/>
      </w:pPr>
      <w:r>
        <w:rPr>
          <w:rFonts w:ascii="Arial" w:cs="Arial" w:eastAsia="Arial" w:hAnsi="Arial"/>
          <w:b/>
          <w:bCs/>
          <w:color w:val="1A1A1A"/>
          <w:sz w:val="26"/>
          <w:szCs w:val="26"/>
        </w:rPr>
        <w:t xml:space="preserve">B. Python Notebook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Notebook</w:t>
            </w:r>
          </w:p>
        </w:tc>
        <w:tc>
          <w:tcPr>
            <w:tcW w:type="dxa" w:w="586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Contents</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01_exploration.ipynb</w:t>
            </w:r>
          </w:p>
        </w:tc>
        <w:tc>
          <w:tcPr>
            <w:tcW w:type="dxa" w:w="5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Initial dataset inspection, shape, dtypes, missing value counts</w:t>
            </w:r>
          </w:p>
        </w:tc>
      </w:tr>
      <w:tr>
        <w:tc>
          <w:tcPr>
            <w:tcW w:type="dxa" w:w="3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02_cleaning.ipynb</w:t>
            </w:r>
          </w:p>
        </w:tc>
        <w:tc>
          <w:tcPr>
            <w:tcW w:type="dxa" w:w="58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Full ETL pipeline — all transformation steps documented</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03_eda.ipynb</w:t>
            </w:r>
          </w:p>
        </w:tc>
        <w:tc>
          <w:tcPr>
            <w:tcW w:type="dxa" w:w="5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Rating, cost, service, and location analysis with visualisations</w:t>
            </w:r>
          </w:p>
        </w:tc>
      </w:tr>
      <w:tr>
        <w:tc>
          <w:tcPr>
            <w:tcW w:type="dxa" w:w="3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04_statistical_analysis.ipynb</w:t>
            </w:r>
          </w:p>
        </w:tc>
        <w:tc>
          <w:tcPr>
            <w:tcW w:type="dxa" w:w="58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Correlation matrix, segmentation, and distribution tests</w:t>
            </w:r>
          </w:p>
        </w:tc>
      </w:tr>
    </w:tbl>
    <w:p>
      <w:pPr>
        <w:spacing w:after="0" w:before="160"/>
      </w:pPr>
    </w:p>
    <w:p>
      <w:pPr>
        <w:pStyle w:val="Heading1"/>
        <w:pBdr>
          <w:bottom w:val="single" w:color="C0392B" w:sz="6" w:space="4"/>
        </w:pBdr>
        <w:spacing w:after="120" w:before="320"/>
      </w:pPr>
      <w:r>
        <w:rPr>
          <w:rFonts w:ascii="Arial" w:cs="Arial" w:eastAsia="Arial" w:hAnsi="Arial"/>
          <w:b/>
          <w:bCs/>
          <w:color w:val="C0392B"/>
          <w:sz w:val="32"/>
          <w:szCs w:val="32"/>
        </w:rPr>
        <w:t xml:space="preserve">18. Contribution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100"/>
        <w:gridCol w:w="1110"/>
        <w:gridCol w:w="1000"/>
        <w:gridCol w:w="1350"/>
      </w:tblGrid>
      <w:tr>
        <w:trPr>
          <w:tblHeader/>
        </w:trPr>
        <w:tc>
          <w:tcPr>
            <w:tcW w:type="dxa" w:w="15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Team Member</w:t>
            </w:r>
          </w:p>
        </w:tc>
        <w:tc>
          <w:tcPr>
            <w:tcW w:type="dxa" w:w="11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Dataset &amp; Sourcing</w:t>
            </w:r>
          </w:p>
        </w:tc>
        <w:tc>
          <w:tcPr>
            <w:tcW w:type="dxa" w:w="11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ETL &amp; Cleaning</w:t>
            </w:r>
          </w:p>
        </w:tc>
        <w:tc>
          <w:tcPr>
            <w:tcW w:type="dxa" w:w="11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EDA &amp; Analysis</w:t>
            </w:r>
          </w:p>
        </w:tc>
        <w:tc>
          <w:tcPr>
            <w:tcW w:type="dxa" w:w="11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Statistical Analysis</w:t>
            </w:r>
          </w:p>
        </w:tc>
        <w:tc>
          <w:tcPr>
            <w:tcW w:type="dxa" w:w="111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Tableau Dashboard</w:t>
            </w:r>
          </w:p>
        </w:tc>
        <w:tc>
          <w:tcPr>
            <w:tcW w:type="dxa" w:w="10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Report Writing</w:t>
            </w:r>
          </w:p>
        </w:tc>
        <w:tc>
          <w:tcPr>
            <w:tcW w:type="dxa" w:w="135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PPT &amp; Viva</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Nishtha Gupta</w:t>
            </w:r>
          </w:p>
        </w:tc>
        <w:tc>
          <w:tcPr>
            <w:tcW w:type="dxa" w:w="1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40%</w:t>
            </w:r>
          </w:p>
        </w:tc>
        <w:tc>
          <w:tcPr>
            <w:tcW w:type="dxa" w:w="1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30%</w:t>
            </w:r>
          </w:p>
        </w:tc>
        <w:tc>
          <w:tcPr>
            <w:tcW w:type="dxa" w:w="1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30%</w:t>
            </w:r>
          </w:p>
        </w:tc>
        <w:tc>
          <w:tcPr>
            <w:tcW w:type="dxa" w:w="1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11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35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r>
      <w:tr>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Adil Mirza</w:t>
            </w:r>
          </w:p>
        </w:tc>
        <w:tc>
          <w:tcPr>
            <w:tcW w:type="dxa" w:w="1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40%</w:t>
            </w:r>
          </w:p>
        </w:tc>
        <w:tc>
          <w:tcPr>
            <w:tcW w:type="dxa" w:w="1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11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40%</w:t>
            </w:r>
          </w:p>
        </w:tc>
        <w:tc>
          <w:tcPr>
            <w:tcW w:type="dxa" w:w="1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35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Tanish Rao</w:t>
            </w:r>
          </w:p>
        </w:tc>
        <w:tc>
          <w:tcPr>
            <w:tcW w:type="dxa" w:w="1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11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100%</w:t>
            </w:r>
          </w:p>
        </w:tc>
        <w:tc>
          <w:tcPr>
            <w:tcW w:type="dxa" w:w="135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r>
      <w:tr>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Tejas Tyagi</w:t>
            </w:r>
          </w:p>
        </w:tc>
        <w:tc>
          <w:tcPr>
            <w:tcW w:type="dxa" w:w="1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11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35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100%</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Kaustubh Hiwanj</w:t>
            </w:r>
          </w:p>
        </w:tc>
        <w:tc>
          <w:tcPr>
            <w:tcW w:type="dxa" w:w="1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30%</w:t>
            </w:r>
          </w:p>
        </w:tc>
        <w:tc>
          <w:tcPr>
            <w:tcW w:type="dxa" w:w="1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15%</w:t>
            </w:r>
          </w:p>
        </w:tc>
        <w:tc>
          <w:tcPr>
            <w:tcW w:type="dxa" w:w="1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20%</w:t>
            </w:r>
          </w:p>
        </w:tc>
        <w:tc>
          <w:tcPr>
            <w:tcW w:type="dxa" w:w="1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30%</w:t>
            </w:r>
          </w:p>
        </w:tc>
        <w:tc>
          <w:tcPr>
            <w:tcW w:type="dxa" w:w="111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35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r>
      <w:tr>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Krishiv Gupta</w:t>
            </w:r>
          </w:p>
        </w:tc>
        <w:tc>
          <w:tcPr>
            <w:tcW w:type="dxa" w:w="1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30%</w:t>
            </w:r>
          </w:p>
        </w:tc>
        <w:tc>
          <w:tcPr>
            <w:tcW w:type="dxa" w:w="1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15%</w:t>
            </w:r>
          </w:p>
        </w:tc>
        <w:tc>
          <w:tcPr>
            <w:tcW w:type="dxa" w:w="1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50%</w:t>
            </w:r>
          </w:p>
        </w:tc>
        <w:tc>
          <w:tcPr>
            <w:tcW w:type="dxa" w:w="1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70%</w:t>
            </w:r>
          </w:p>
        </w:tc>
        <w:tc>
          <w:tcPr>
            <w:tcW w:type="dxa" w:w="111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30%</w:t>
            </w:r>
          </w:p>
        </w:tc>
        <w:tc>
          <w:tcPr>
            <w:tcW w:type="dxa" w:w="1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c>
          <w:tcPr>
            <w:tcW w:type="dxa" w:w="135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r>
    </w:tbl>
    <w:p>
      <w:pPr>
        <w:spacing w:after="0" w:before="120"/>
      </w:pPr>
    </w:p>
    <w:p>
      <w:pPr>
        <w:spacing w:after="60" w:before="60"/>
        <w:jc w:val="both"/>
      </w:pPr>
      <w:r>
        <w:rPr>
          <w:rFonts w:ascii="Arial" w:cs="Arial" w:eastAsia="Arial" w:hAnsi="Arial"/>
          <w:color w:val="1A1A1A"/>
          <w:sz w:val="20"/>
          <w:szCs w:val="20"/>
        </w:rPr>
        <w:t xml:space="preserve">Declaration: We confirm that the above contribution details are accurate and verifiable through GitHub Insights, PR history, and submitted artifacts.</w:t>
      </w:r>
    </w:p>
    <w:p>
      <w:pPr>
        <w:spacing w:after="0" w:before="80"/>
      </w:pPr>
    </w:p>
    <w:p>
      <w:pPr>
        <w:spacing w:after="60" w:before="60"/>
        <w:jc w:val="both"/>
      </w:pPr>
      <w:r>
        <w:rPr>
          <w:rFonts w:ascii="Arial" w:cs="Arial" w:eastAsia="Arial" w:hAnsi="Arial"/>
          <w:color w:val="1A1A1A"/>
          <w:sz w:val="20"/>
          <w:szCs w:val="20"/>
        </w:rPr>
        <w:t xml:space="preserve">Team Lead Signature: _____________________________________     Date: 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space="4"/>
      </w:pBdr>
      <w:jc w:val="center"/>
    </w:pPr>
    <w:r>
      <w:rPr>
        <w:rFonts w:ascii="Arial" w:cs="Arial" w:eastAsia="Arial" w:hAnsi="Arial"/>
        <w:color w:val="444444"/>
        <w:sz w:val="16"/>
        <w:szCs w:val="16"/>
      </w:rPr>
      <w:t xml:space="preserve">Newton School of Technology  |  DVA Capstone 2  |  Page </w:t>
    </w:r>
    <w:r>
      <w:rPr>
        <w:rFonts w:ascii="Arial" w:cs="Arial" w:eastAsia="Arial" w:hAnsi="Arial"/>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jc w:val="right"/>
    </w:pPr>
    <w:r>
      <w:rPr>
        <w:rFonts w:ascii="Arial" w:cs="Arial" w:eastAsia="Arial" w:hAnsi="Arial"/>
        <w:color w:val="444444"/>
        <w:sz w:val="16"/>
        <w:szCs w:val="16"/>
      </w:rPr>
      <w:t xml:space="preserve">Zomato Restaurant Analysis  |  Data Visualization &amp;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C0392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2026-04-28T19:13:51.194Z</dcterms:created>
  <dcterms:modified xsi:type="dcterms:W3CDTF">2026-04-28T19:13:51.195Z</dcterms:modified>
</cp:coreProperties>
</file>

<file path=docProps/custom.xml><?xml version="1.0" encoding="utf-8"?>
<Properties xmlns="http://schemas.openxmlformats.org/officeDocument/2006/custom-properties" xmlns:vt="http://schemas.openxmlformats.org/officeDocument/2006/docPropsVTypes"/>
</file>