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01_EXPERIENCE — Tattava Copilot</w:t>
      </w:r>
    </w:p>
    <w:p>
      <w:r>
        <w:t>This integrated V1 experience package contains:</w:t>
      </w:r>
    </w:p>
    <w:p>
      <w:pPr>
        <w:pStyle w:val="ListNumber"/>
      </w:pPr>
      <w:r>
        <w:t>01_User_Flows.md — end-to-end journeys, alternate paths, exceptions, recovery and traceability.</w:t>
      </w:r>
    </w:p>
    <w:p>
      <w:pPr>
        <w:pStyle w:val="ListNumber"/>
      </w:pPr>
      <w:r>
        <w:t>02_UX_Specification.md — information architecture, screen inventory, interface behaviour, state models and accessibility.</w:t>
      </w:r>
    </w:p>
    <w:p>
      <w:pPr>
        <w:pStyle w:val="ListNumber"/>
      </w:pPr>
      <w:r>
        <w:t>03_AI_Interaction_Specification.md — user-visible AI behaviour, context, uncertainty, research, candidate generation, human review and failure handling.</w:t>
      </w:r>
    </w:p>
    <w:p>
      <w:pPr>
        <w:pStyle w:val="ListNumber"/>
      </w:pPr>
      <w:r>
        <w:t>04_Design_System.md — component conventions, provisional visual tokens, AI-specific patterns and accessibility rules.</w:t>
      </w:r>
    </w:p>
    <w:p>
      <w:pPr>
        <w:pStyle w:val="Heading1"/>
      </w:pPr>
      <w:r>
        <w:t>Governing product principle</w:t>
      </w:r>
    </w:p>
    <w:p>
      <w:r>
        <w:t>Make the project itself intelligent. The project is the primary context; conversation is one interaction surface. AI prepares and recommends; authorised humans own consequential creative decisions and Canon updates.</w:t>
      </w:r>
    </w:p>
    <w:p>
      <w:pPr>
        <w:pStyle w:val="Heading1"/>
      </w:pPr>
      <w:r>
        <w:t>Source alignment</w:t>
      </w:r>
    </w:p>
    <w:p>
      <w:r>
        <w:t>Prepared against the accessible BRD, Product Strategy, updated PRD, product-scope materials and supporting experience/architecture findings. Strategy and updated PRD govern where older material conflicts. Product requirements are distinguished from provisional visual recommendations and open policy decisions.</w:t>
      </w:r>
    </w:p>
    <w:p>
      <w:pPr>
        <w:pStyle w:val="Heading1"/>
      </w:pPr>
      <w:r>
        <w:t>Delivery status</w:t>
      </w:r>
    </w:p>
    <w:p>
      <w:r>
        <w:t>These are implementation-oriented documentation baselines, not claims that final visual wireframes, approved brand assets, a production interface, or validated usability results already exist. Visual tokens are provisional pending brand review. Action-level permissions, provider policy, retention, source hierarchy, file limits, KPI thresholds and operational details remain explicit open decisions.</w:t>
      </w:r>
    </w:p>
    <w:p>
      <w:pPr>
        <w:pStyle w:val="Heading1"/>
      </w:pPr>
      <w:r>
        <w:t>Final refinement layer</w:t>
      </w:r>
    </w:p>
    <w:p>
      <w:r>
        <w:t>This package preserves the current four-document experience baseline and adds a final refinement layer focused on implementation hand-off:</w:t>
      </w:r>
    </w:p>
    <w:p>
      <w:pPr>
        <w:pStyle w:val="ListBullet"/>
      </w:pPr>
      <w:r>
        <w:t>Stable screen IDs and screen-to-requirement acceptance mapping.</w:t>
      </w:r>
    </w:p>
    <w:p>
      <w:pPr>
        <w:pStyle w:val="ListBullet"/>
      </w:pPr>
      <w:r>
        <w:t>Low-fidelity structural wireframes for core V1 journeys.</w:t>
      </w:r>
    </w:p>
    <w:p>
      <w:pPr>
        <w:pStyle w:val="ListBullet"/>
      </w:pPr>
      <w:r>
        <w:t>Additional journey and edge-state coverage.</w:t>
      </w:r>
    </w:p>
    <w:p>
      <w:pPr>
        <w:pStyle w:val="ListBullet"/>
      </w:pPr>
      <w:r>
        <w:t>Observable AI-to-UX contracts and evaluation scenarios.</w:t>
      </w:r>
    </w:p>
    <w:p>
      <w:pPr>
        <w:pStyle w:val="ListBullet"/>
      </w:pPr>
      <w:r>
        <w:t>Semantic component contracts for evidence, candidates, decisions, Canon, status and recovery.</w:t>
      </w:r>
    </w:p>
    <w:p>
      <w:pPr>
        <w:pStyle w:val="ListBullet"/>
      </w:pPr>
      <w:r>
        <w:t>Explicit open decisions where source evidence does not establish a final policy or design choice.</w:t>
      </w:r>
    </w:p>
    <w:p>
      <w:r>
        <w:t>The wireframes are intentionally low fidelity. They specify hierarchy and behaviour rather than claiming approved brand design or production UI. Requirements and design recommendations remain distinct, and unresolved action-level permissions, package rules, file limits, visual standards and evaluation thresholds remain open.</w:t>
      </w:r>
    </w:p>
    <w:p>
      <w:pPr>
        <w:pStyle w:val="Heading1"/>
      </w:pPr>
      <w:r>
        <w:t>Final package review checklist</w:t>
      </w:r>
    </w:p>
    <w:p>
      <w:pPr>
        <w:pStyle w:val="ListBullet"/>
      </w:pPr>
      <w:r>
        <w:t>[ ] Product Strategy, PRD, BRD and scope boundaries reconciled.</w:t>
      </w:r>
    </w:p>
    <w:p>
      <w:pPr>
        <w:pStyle w:val="ListBullet"/>
      </w:pPr>
      <w:r>
        <w:t>[ ] Screen IDs mapped to journey steps and acceptance evidence.</w:t>
      </w:r>
    </w:p>
    <w:p>
      <w:pPr>
        <w:pStyle w:val="ListBullet"/>
      </w:pPr>
      <w:r>
        <w:t>[ ] Core screens include loading, empty, partial, blocked, stale, error and recovery states where relevant.</w:t>
      </w:r>
    </w:p>
    <w:p>
      <w:pPr>
        <w:pStyle w:val="ListBullet"/>
      </w:pPr>
      <w:r>
        <w:t>[ ] AI-generated content is distinct from approved content and Canon.</w:t>
      </w:r>
    </w:p>
    <w:p>
      <w:pPr>
        <w:pStyle w:val="ListBullet"/>
      </w:pPr>
      <w:r>
        <w:t>[ ] Evidence provenance and source conflicts are inspectable.</w:t>
      </w:r>
    </w:p>
    <w:p>
      <w:pPr>
        <w:pStyle w:val="ListBullet"/>
      </w:pPr>
      <w:r>
        <w:t>[ ] Protected actions depend on server-side authorisation and version validation.</w:t>
      </w:r>
    </w:p>
    <w:p>
      <w:pPr>
        <w:pStyle w:val="ListBullet"/>
      </w:pPr>
      <w:r>
        <w:t>[ ] Content Head is the only canonical role label; no person is embedded in the role name.</w:t>
      </w:r>
    </w:p>
    <w:p>
      <w:pPr>
        <w:pStyle w:val="ListBullet"/>
      </w:pPr>
      <w:r>
        <w:t>[ ] Visual tokens are provisional pending brand confirmation.</w:t>
      </w:r>
    </w:p>
    <w:p>
      <w:pPr>
        <w:pStyle w:val="ListBullet"/>
      </w:pPr>
      <w:r>
        <w:t>[ ] Open decisions are visible and not silently converted into approved requirements.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