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TATTAVA COPILOT — Tool Specifications</w:t>
      </w:r>
    </w:p>
    <w:p>
      <w:pPr>
        <w:spacing w:after="80"/>
      </w:pPr>
      <w:r>
        <w:t>Document ID: TAT-AI-TLS-001 · Baseline: V1 — Narrative Intelligence · Status: Logical tool contracts; concrete APIs require engineering validation</w:t>
      </w:r>
    </w:p>
    <w:p>
      <w:pPr>
        <w:pStyle w:val="Heading1"/>
      </w:pPr>
      <w:r>
        <w:t>1. Tooling principle</w:t>
      </w:r>
    </w:p>
    <w:p>
      <w:pPr>
        <w:spacing w:after="80"/>
      </w:pPr>
      <w:r>
        <w:t>Tools are explicit, typed, least-privilege interfaces to deterministic application services or approved external systems. A model may propose a tool call; the runtime validates it. The tool gateway and domain services enforce authorization and side-effect boundaries. No direct model access to databases, secrets, arbitrary network endpoints or Canon persistence.</w:t>
      </w:r>
    </w:p>
    <w:p>
      <w:pPr>
        <w:pStyle w:val="Heading1"/>
      </w:pPr>
      <w:r>
        <w:t>2. Tool registry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Tool contract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Class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Key controls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TLS-001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`get_project_state`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Read-only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Fetch authorized project metadata and state by project/version/scope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Server-side authorization, project scoping, version snapshot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TLS-002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`get_canon`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Read-only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Fetch relevant typed Canon items and current version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Read permission, branch/project filter, audit access where needed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TLS-003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`search_project_assets`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Read-only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Search authorized uploaded/derived project assets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Permission filter before results; source/version references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TLS-004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`retrieve_evidence`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Read-only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Retrieve research records and source cards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Provenance, freshness, rights and conflict metadata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TLS-005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`search_external_sources`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External read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Discover permitted external research sources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Approved provider policy, safe URL handling, quotas, source metadata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TLS-006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`fetch_source_content`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External read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Fetch permitted source content for extraction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Domain allowlist/policy, size/time limits, malware and injection treatment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TLS-007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`extract_document`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Processing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Extract text/metadata from supported uploads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Preserve original; report OCR/parsing confidence; reject unsafe/corrupt inputs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TLS-008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`create_candidate`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State-changing, non-canonical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Persist candidate artifact/branch output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Schema validation, actor/project, snapshot and lineage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TLS-009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`compare_artifacts`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Read-only/analysis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Compare versions/branches and identify changes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Permission checks, version identity, no automatic merge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TLS-010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`run_continuity_check`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Analysis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Assess candidate against Canon/dependencies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Current snapshot, findings with references, no automatic resolution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TLS-011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`prepare_canon_change`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Non-canonical proposal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Prepare typed change set, rationale and impact preview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Candidate only; no commit permission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TLS-012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`submit_for_review`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Workflow action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Route candidate/change to configured reviewer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Configured approval policy, audit event, notification result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TLS-013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`record_human_decision`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Consequential domain command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Record authorized accept/reject/defer/return-for-revision decision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Server-side role/action/consequence authorization; actor identity and audit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TLS-014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`commit_canon_change`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Consequential domain command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Commit approved, validated, non-stale change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Domain-only call, required approval token, optimistic concurrency, idempotency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TLS-015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`get_dependencies`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Read-only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Retrieve dependency graph for changed entities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Scope and version filters; stale assessments labelled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TLS-016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`generate_package`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Artifact generation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Build versioned Story Development Package from governed state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Schema version, current snapshot, open issues, approval status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TLS-017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`export_project`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Consequential export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Export approved artifacts and structured lineage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Export permission, sensitive-data filtering, audit, rights restrictions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TLS-018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`cancel_or_resume_run`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Workflow control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Cancel or resume a supported run/checkpoint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Actor/run authorization, idempotent control, terminal state correctness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TLS-019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`write_audit_event`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Internal deterministic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Record material actions and state transitions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Append-only or tamper-evident controls as selected by architecture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TLS-020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`record_evaluation_result`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Internal deterministic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Persist evaluation metadata and test results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Dataset/version provenance, restricted access, no fake pass status</w:t>
            </w:r>
          </w:p>
        </w:tc>
      </w:tr>
    </w:tbl>
    <w:p>
      <w:pPr>
        <w:spacing w:after="80"/>
      </w:pPr>
      <w:r>
        <w:t>Names are logical contract identifiers, not claims that these exact APIs already exist. Each must be implemented behind authenticated application boundaries.</w:t>
      </w:r>
    </w:p>
    <w:p>
      <w:pPr>
        <w:pStyle w:val="Heading1"/>
      </w:pPr>
      <w:r>
        <w:t>3. Common tool envelope</w:t>
      </w:r>
    </w:p>
    <w:p>
      <w:pPr>
        <w:spacing w:after="80"/>
      </w:pPr>
      <w:r>
        <w:t>Every invocation should carry: request_id, run_id, actor_id, project_id, action, resource_refs, input_schema_version, idempotency_key where applicable, deadline/budget, and trace context. Responses should carry: status, typed payload, resource/version refs, provenance, warnings, retryability, side-effect summary, error code and trace reference. Never expose credentials or internal secrets to the model.</w:t>
      </w:r>
    </w:p>
    <w:p>
      <w:pPr>
        <w:pStyle w:val="Heading1"/>
      </w:pPr>
      <w:r>
        <w:t>4. Read versus write boundary</w:t>
      </w:r>
    </w:p>
    <w:p>
      <w:pPr>
        <w:spacing w:after="80"/>
      </w:pPr>
      <w:r>
        <w:t>Read-only tools must still authorize access. External read tools may introduce malicious or misleading content and therefore return untrusted, provenance-labelled data. Non-canonical writes create candidates or derived artifacts only. Consequential writes require a separate domain command that rechecks authorization, approval, current version and impact policy. The model cannot call commit_canon_change directly; it can only prepare a proposal and submit it into the authorized workflow.</w:t>
      </w:r>
    </w:p>
    <w:p>
      <w:pPr>
        <w:pStyle w:val="Heading1"/>
      </w:pPr>
      <w:r>
        <w:t>5. Canon change sequence</w:t>
      </w:r>
    </w:p>
    <w:p>
      <w:pPr>
        <w:ind w:left="288"/>
      </w:pPr>
      <w:r>
        <w:rPr>
          <w:rFonts w:ascii="Consolas" w:hAnsi="Consolas"/>
          <w:sz w:val="16"/>
        </w:rPr>
        <w:t>sequenceDiagram</w:t>
        <w:br/>
        <w:t xml:space="preserve">  participant M as Model/Agent</w:t>
        <w:br/>
        <w:t xml:space="preserve">  participant G as Tool Gateway</w:t>
        <w:br/>
        <w:t xml:space="preserve">  participant D as Domain Service</w:t>
        <w:br/>
        <w:t xml:space="preserve">  participant V as Validator/Impact</w:t>
        <w:br/>
        <w:t xml:space="preserve">  participant H as Authorized Human</w:t>
        <w:br/>
        <w:t xml:space="preserve">  participant A as Audit/Event Store</w:t>
        <w:br/>
        <w:t xml:space="preserve">  M-&gt;&gt;G: prepare change proposal</w:t>
        <w:br/>
        <w:t xml:space="preserve">  G-&gt;&gt;D: authorize and persist Candidate</w:t>
        <w:br/>
        <w:t xml:space="preserve">  D-&gt;&gt;V: validate schema, version, constraints and impact</w:t>
        <w:br/>
        <w:t xml:space="preserve">  V--&gt;&gt;D: findings + affected dependencies</w:t>
        <w:br/>
        <w:t xml:space="preserve">  D--&gt;&gt;H: review request with diff and impact</w:t>
        <w:br/>
        <w:t xml:space="preserve">  H-&gt;&gt;D: approve / reject / defer</w:t>
        <w:br/>
        <w:t xml:space="preserve">  D-&gt;&gt;D: re-check role, approval and optimistic version</w:t>
        <w:br/>
        <w:t xml:space="preserve">  alt valid and approved</w:t>
        <w:br/>
        <w:t xml:space="preserve">    D-&gt;&gt;D: create new Canon version</w:t>
        <w:br/>
        <w:t xml:space="preserve">    D-&gt;&gt;A: record decision, mutation and lineage</w:t>
        <w:br/>
        <w:t xml:space="preserve">  else stale, denied or rejected</w:t>
        <w:br/>
        <w:t xml:space="preserve">    D-&gt;&gt;A: record outcome; Canon unchanged</w:t>
        <w:br/>
        <w:t xml:space="preserve">  end</w:t>
      </w:r>
    </w:p>
    <w:p>
      <w:pPr>
        <w:pStyle w:val="Heading1"/>
      </w:pPr>
      <w:r>
        <w:t>6. Error and retry contract</w:t>
      </w:r>
    </w:p>
    <w:p>
      <w:pPr>
        <w:spacing w:after="80"/>
      </w:pPr>
      <w:r>
        <w:t>Classify errors as validation, authorization, not found, conflict/stale version, rate limit, timeout, provider unavailable, partial extraction, unsupported format, unsafe content, policy block, internal failure or cancellation. Retry only transient/idempotent operations. Do not retry authorization failures as a workaround. For non-idempotent external actions, require idempotency or reconciliation before retry. Use bounded exponential backoff only where approved; numeric limits are operational configuration.</w:t>
      </w:r>
    </w:p>
    <w:p>
      <w:pPr>
        <w:spacing w:after="80"/>
      </w:pPr>
      <w:r>
        <w:t>For partial success, return completed step references and failed steps. Do not label a workflow complete if required validation failed. A retry creates a linked run or resume event; it must not duplicate Canon changes or lose provenance.</w:t>
      </w:r>
    </w:p>
    <w:p>
      <w:pPr>
        <w:pStyle w:val="Heading1"/>
      </w:pPr>
      <w:r>
        <w:t>7. File ingestion contract</w:t>
      </w:r>
    </w:p>
    <w:p>
      <w:pPr>
        <w:spacing w:after="80"/>
      </w:pPr>
      <w:r>
        <w:t>Recommended initial support, subject to engineering validation: DOCX, text-extractable PDF, TXT and Markdown; common image formats only where OCR/vision is explicitly available. Preserve original uploads, link derived text and summaries to source version, expose OCR/extraction confidence, and make unsupported/password-protected/corrupt/oversized files recoverable. Exact limits are not specified until representative workload and cost testing. Uploaded content is untrusted and should undergo applicable malware/content checks.</w:t>
      </w:r>
    </w:p>
    <w:p>
      <w:pPr>
        <w:pStyle w:val="Heading1"/>
      </w:pPr>
      <w:r>
        <w:t>8. External research tool requirements</w:t>
      </w:r>
    </w:p>
    <w:p>
      <w:pPr>
        <w:spacing w:after="80"/>
      </w:pPr>
      <w:r>
        <w:t>Do not invent endpoints or claim universal web access. The deployment must configure approved source/search providers, allowed domains, rate limits, access rights and handling of robots/paywall/blocked content. A source card should retain title, publisher/owner, stable URL/locator, excerpt/claim, retrieval date, source tier, rights metadata where known, extraction confidence, and conflict links. The model cannot fabricate a source reference; the runtime verifies returned source IDs.</w:t>
      </w:r>
    </w:p>
    <w:p>
      <w:pPr>
        <w:pStyle w:val="Heading1"/>
      </w:pPr>
      <w:r>
        <w:t>9. Audit and observability</w:t>
      </w:r>
    </w:p>
    <w:p>
      <w:pPr>
        <w:spacing w:after="80"/>
      </w:pPr>
      <w:r>
        <w:t>For material runs, capture input/intent references, context manifest, model/provider route, prompt/schema versions, tools and outcomes, validations, candidate references, human actions, approval, Canon mutation, latency/cost, retry and failure. Minimize raw content duplication and restrict access according to data class. Audit retention is policy-controlled and must not be promised until approved.</w:t>
      </w:r>
    </w:p>
    <w:p>
      <w:pPr>
        <w:pStyle w:val="Heading1"/>
      </w:pPr>
      <w:r>
        <w:t>10. Validation and unresolved items</w:t>
      </w:r>
    </w:p>
    <w:p>
      <w:pPr>
        <w:spacing w:after="80"/>
      </w:pPr>
      <w:r>
        <w:t>Engineering validates concrete API schemas, provider/search/OCR capabilities, timeouts, idempotency implementation, storage and audit technology. Security/Legal approve provider allowlists, sensitive-data routing, retention, residency and export policy. Product confirms supported file formats with writers/researchers. Tool contracts are actionable logical specifications, not deployed API claims.</w:t>
      </w:r>
    </w:p>
    <w:p>
      <w:pPr>
        <w:pStyle w:val="Heading1"/>
      </w:pPr>
      <w:r>
        <w:t>12. Refinement — tool contract, side effects and recovery</w:t>
      </w:r>
    </w:p>
    <w:p>
      <w:pPr>
        <w:pStyle w:val="Heading2"/>
      </w:pPr>
      <w:r>
        <w:t>12.1 Common tool envelope</w:t>
      </w:r>
    </w:p>
    <w:p>
      <w:pPr>
        <w:spacing w:after="80"/>
      </w:pPr>
      <w:r>
        <w:t>tool_id, tool_version, run_id, actor_id, project_id, action_scope, input_schema_version, idempotency_key, deadline, budget, authorization_decision_ref, correlation_id. The server derives identity and checks authorization; tool descriptions and model requests do not confer permission.</w:t>
      </w:r>
    </w:p>
    <w:p>
      <w:pPr>
        <w:pStyle w:val="Heading2"/>
      </w:pPr>
      <w:r>
        <w:t>12.2 Tool classes</w:t>
      </w:r>
    </w:p>
    <w:p>
      <w:pPr>
        <w:pStyle w:val="ListBullet"/>
      </w:pPr>
      <w:r>
        <w:t>Read-only domain tools: retrieve project state, versions, approved decisions and dependency references.</w:t>
      </w:r>
    </w:p>
    <w:p>
      <w:pPr>
        <w:pStyle w:val="ListBullet"/>
      </w:pPr>
      <w:r>
        <w:t>Research tools: search or fetch allowed external sources and return source metadata; results are untrusted.</w:t>
      </w:r>
    </w:p>
    <w:p>
      <w:pPr>
        <w:pStyle w:val="ListBullet"/>
      </w:pPr>
      <w:r>
        <w:t>Ingestion tools: validate file type/size against configurable policy, malware-scan where supported, extract text/OCR, preserve original reference and extraction quality.</w:t>
      </w:r>
    </w:p>
    <w:p>
      <w:pPr>
        <w:pStyle w:val="ListBullet"/>
      </w:pPr>
      <w:r>
        <w:t>Analysis tools: compare versions, compute dependency impact, validate package completeness.</w:t>
      </w:r>
    </w:p>
    <w:p>
      <w:pPr>
        <w:pStyle w:val="ListBullet"/>
      </w:pPr>
      <w:r>
        <w:t>Candidate-write tools: persist candidate artifacts and branches, never Canon.</w:t>
      </w:r>
    </w:p>
    <w:p>
      <w:pPr>
        <w:pStyle w:val="ListBullet"/>
      </w:pPr>
      <w:r>
        <w:t>Canon command tools: only deterministic, server-side domain commands after explicit approval, permission and optimistic-version checks.</w:t>
      </w:r>
    </w:p>
    <w:p>
      <w:pPr>
        <w:pStyle w:val="ListBullet"/>
      </w:pPr>
      <w:r>
        <w:t>Administrative tools: manage users, policies and deletion; unavailable to general creative agents.</w:t>
      </w:r>
    </w:p>
    <w:p>
      <w:pPr>
        <w:pStyle w:val="Heading2"/>
      </w:pPr>
      <w:r>
        <w:t>12.3 Tool response envelope</w:t>
      </w:r>
    </w:p>
    <w:p>
      <w:pPr>
        <w:spacing w:after="80"/>
      </w:pPr>
      <w:r>
        <w:t>Return status, result_ref, warnings[], source_refs[], retryable, retry_after when known, partial_result, error_code, safe_user_message, correlation_id, and side_effect_summary. Avoid returning raw secrets or protected data in errors.</w:t>
      </w:r>
    </w:p>
    <w:p>
      <w:pPr>
        <w:pStyle w:val="Heading2"/>
      </w:pPr>
      <w:r>
        <w:t>12.4 Tool safety</w:t>
      </w:r>
    </w:p>
    <w:p>
      <w:pPr>
        <w:spacing w:after="80"/>
      </w:pPr>
      <w:r>
        <w:t>Every tool has a least-privilege allowlist and typed schema. External network access is policy-controlled. Read and write tools are distinct. No arbitrary shell/code execution is exposed to a model. Side-effecting tools require idempotency, bounded retries and audit. A tool failure cannot trigger a hidden fallback that changes data classification, provider policy or approval requirements.</w:t>
      </w:r>
    </w:p>
    <w:p>
      <w:pPr>
        <w:pStyle w:val="Heading2"/>
      </w:pPr>
      <w:r>
        <w:t>12.5 Ingestion and source lineage</w:t>
      </w:r>
    </w:p>
    <w:p>
      <w:pPr>
        <w:spacing w:after="80"/>
      </w:pPr>
      <w:r>
        <w:t>Preserve the original file/source reference, uploader, project scope, detected type, processing version, extraction/OCR method where applicable, extraction warnings, page/segment locators, checksum and access policy. If extraction is partial or low confidence, label it and prevent unsupported conclusions from appearing fully verified.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Internal product specification • V1 Narrative Intelligence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46E"/>
        <w:sz w:val="16"/>
      </w:rPr>
      <w:t>TATTAVA COPILOT  |  02_AI_INTELLIGENCE  |  REFINED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6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6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6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36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