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eead84212df6af6ff6ec50c222ed48a195a1b7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03_TECHNICAL — Documentation Package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Tattava Copilot / Tattava Co. — Don Vanzara Showbiz LLP</w:t>
      </w:r>
      <w:r>
        <w:br/>
      </w:r>
      <w:r>
        <w:rPr>
          <w:b/>
          <w:bCs/>
        </w:rPr>
        <w:t xml:space="preserve">Product boundary:</w:t>
      </w:r>
      <w:r>
        <w:t xml:space="preserve"> </w:t>
      </w:r>
      <w:r>
        <w:t xml:space="preserve">V1 — Narrative Intelligence</w:t>
      </w:r>
      <w:r>
        <w:br/>
      </w:r>
      <w:r>
        <w:rPr>
          <w:b/>
          <w:bCs/>
        </w:rPr>
        <w:t xml:space="preserve">Package status:</w:t>
      </w:r>
      <w:r>
        <w:t xml:space="preserve"> </w:t>
      </w:r>
      <w:r>
        <w:t xml:space="preserve">Final technical specification package for cross-functional engineering review; proposed implementation contracts are explicitly distinguished from approved architecture gates and deployed facts.</w:t>
      </w:r>
    </w:p>
    <w:bookmarkStart w:id="20" w:name="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Contents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CE6F1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</w:t>
            </w:r>
          </w:p>
        </w:tc>
        <w:tc>
          <w:tcPr>
            <w:vAlign w:val="center"/>
            <w:shd w:fill="DCE6F1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01_System_Architecture.md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System boundaries, components, AI runtime, trust boundaries, lifecycle, reliability, architecture decisions and verification.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02_Data_Architecture.md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Authority model, conceptual ERD, entities, state vocabularies, provenance, retrieval, versioning, privacy and recovery.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03_API_Specification.md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Proposed API inventory, request/response examples, run and Canon contracts, error taxonomy and contract testing.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04_Integration_Specification.md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Integration inventory, provider gateway, research, file processing, tool contracts, failure handling and open dependencies.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05_Infrastructure.md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Environment isolation, deployment reference, CI/CD, secrets, observability, scaling, recovery and operational gates.</w:t>
            </w:r>
          </w:p>
        </w:tc>
      </w:tr>
    </w:tbl>
    <w:p>
      <w:pPr>
        <w:pStyle w:val="BodyText"/>
      </w:pPr>
      <w:r>
        <w:t xml:space="preserve">Each Markdown file has a corresponding DOCX file. Markdown preserves Mermaid diagrams, code examples, schema snippets and tables as source. DOCX versions are formatted for review; Mermaid source is retained as readable code where native diagram rendering is not available.</w:t>
      </w:r>
    </w:p>
    <w:bookmarkEnd w:id="20"/>
    <w:bookmarkStart w:id="21" w:name="how-to-interpret-the-packag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How to interpret the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Confirmed / approved:</w:t>
      </w:r>
      <w:r>
        <w:t xml:space="preserve"> </w:t>
      </w:r>
      <w:r>
        <w:t xml:space="preserve">supported by product sources or approved architectural gates.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Proposed:</w:t>
      </w:r>
      <w:r>
        <w:t xml:space="preserve"> </w:t>
      </w:r>
      <w:r>
        <w:t xml:space="preserve">recommended contract or implementation approach, not a claim of deployment.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Assumption:</w:t>
      </w:r>
      <w:r>
        <w:t xml:space="preserve"> </w:t>
      </w:r>
      <w:r>
        <w:t xml:space="preserve">working premise requiring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decision / validation required:</w:t>
      </w:r>
      <w:r>
        <w:t xml:space="preserve"> </w:t>
      </w:r>
      <w:r>
        <w:t xml:space="preserve">accountable owner must resolve before the relevant launch commitment.</w:t>
      </w:r>
    </w:p>
    <w:p>
      <w:pPr>
        <w:pStyle w:val="Compact"/>
        <w:numPr>
          <w:ilvl w:val="0"/>
          <w:numId w:val="1001"/>
        </w:numPr>
      </w:pPr>
      <w:r>
        <w:t xml:space="preserve">No cloud provider, model provider, endpoint, secret, numerical SLO, retention period, legal obligation or implementation status is fabricated.</w:t>
      </w:r>
    </w:p>
    <w:bookmarkEnd w:id="21"/>
    <w:bookmarkStart w:id="22" w:name="cross-document-contract-anchor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Cross-document contract anchors</w:t>
      </w:r>
    </w:p>
    <w:p>
      <w:pPr>
        <w:pStyle w:val="Compact"/>
        <w:numPr>
          <w:ilvl w:val="0"/>
          <w:numId w:val="1002"/>
        </w:numPr>
      </w:pPr>
      <w:r>
        <w:t xml:space="preserve">Project is the durable unit of intelligence; conversation is an interaction surface.</w:t>
      </w:r>
    </w:p>
    <w:p>
      <w:pPr>
        <w:pStyle w:val="Compact"/>
        <w:numPr>
          <w:ilvl w:val="0"/>
          <w:numId w:val="1002"/>
        </w:numPr>
      </w:pPr>
      <w:r>
        <w:t xml:space="preserve">The authoritative domain store owns Canon, versions, decisions, approvals and audit references.</w:t>
      </w:r>
    </w:p>
    <w:p>
      <w:pPr>
        <w:pStyle w:val="Compact"/>
        <w:numPr>
          <w:ilvl w:val="0"/>
          <w:numId w:val="1002"/>
        </w:numPr>
      </w:pPr>
      <w:r>
        <w:t xml:space="preserve">Search/vector indexes and model/agent memory are derived or ephemeral, never authoritative.</w:t>
      </w:r>
    </w:p>
    <w:p>
      <w:pPr>
        <w:pStyle w:val="Compact"/>
        <w:numPr>
          <w:ilvl w:val="0"/>
          <w:numId w:val="1002"/>
        </w:numPr>
      </w:pPr>
      <w:r>
        <w:t xml:space="preserve">AI outputs remain candidates until validated and reviewed under consequence-based policy.</w:t>
      </w:r>
    </w:p>
    <w:p>
      <w:pPr>
        <w:pStyle w:val="Compact"/>
        <w:numPr>
          <w:ilvl w:val="0"/>
          <w:numId w:val="1002"/>
        </w:numPr>
      </w:pPr>
      <w:r>
        <w:t xml:space="preserve">Canon mutation uses server-side domain commands, expected-version checks and atomic audit linkage.</w:t>
      </w:r>
    </w:p>
    <w:p>
      <w:pPr>
        <w:pStyle w:val="Compact"/>
        <w:numPr>
          <w:ilvl w:val="0"/>
          <w:numId w:val="1002"/>
        </w:numPr>
      </w:pPr>
      <w:r>
        <w:t xml:space="preserve">Research preserves source → evidence → claim → confidence/provenance lineage.</w:t>
      </w:r>
    </w:p>
    <w:p>
      <w:pPr>
        <w:pStyle w:val="Compact"/>
        <w:numPr>
          <w:ilvl w:val="0"/>
          <w:numId w:val="1002"/>
        </w:numPr>
      </w:pPr>
      <w:r>
        <w:t xml:space="preserve">Long-running AI work is represented by durable run resources and bounded asynchronous execution.</w:t>
      </w:r>
    </w:p>
    <w:p>
      <w:pPr>
        <w:pStyle w:val="Compact"/>
        <w:numPr>
          <w:ilvl w:val="0"/>
          <w:numId w:val="1002"/>
        </w:numPr>
      </w:pPr>
      <w:r>
        <w:t xml:space="preserve">Provider, data-use, retention, role-action, package-schema, operational SLO and capacity decisions remain explicit until approved.</w:t>
      </w:r>
    </w:p>
    <w:bookmarkEnd w:id="22"/>
    <w:bookmarkStart w:id="23" w:name="suggested-implementation-sequenc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Suggested implementation sequence</w:t>
      </w:r>
    </w:p>
    <w:p>
      <w:pPr>
        <w:pStyle w:val="Compact"/>
        <w:numPr>
          <w:ilvl w:val="0"/>
          <w:numId w:val="1003"/>
        </w:numPr>
      </w:pPr>
      <w:r>
        <w:t xml:space="preserve">Confirm unresolved security/data/provider/role-policy gates and assign owners.</w:t>
      </w:r>
    </w:p>
    <w:p>
      <w:pPr>
        <w:pStyle w:val="Compact"/>
        <w:numPr>
          <w:ilvl w:val="0"/>
          <w:numId w:val="1003"/>
        </w:numPr>
      </w:pPr>
      <w:r>
        <w:t xml:space="preserve">Finalize logical schemas and state-transition invariants from the Data Architecture.</w:t>
      </w:r>
    </w:p>
    <w:p>
      <w:pPr>
        <w:pStyle w:val="Compact"/>
        <w:numPr>
          <w:ilvl w:val="0"/>
          <w:numId w:val="1003"/>
        </w:numPr>
      </w:pPr>
      <w:r>
        <w:t xml:space="preserve">Approve OpenAPI and domain command contracts from the API Specification.</w:t>
      </w:r>
    </w:p>
    <w:p>
      <w:pPr>
        <w:pStyle w:val="Compact"/>
        <w:numPr>
          <w:ilvl w:val="0"/>
          <w:numId w:val="1003"/>
        </w:numPr>
      </w:pPr>
      <w:r>
        <w:t xml:space="preserve">Select provider adapters and operational services against the Integration Specification.</w:t>
      </w:r>
    </w:p>
    <w:p>
      <w:pPr>
        <w:pStyle w:val="Compact"/>
        <w:numPr>
          <w:ilvl w:val="0"/>
          <w:numId w:val="1003"/>
        </w:numPr>
      </w:pPr>
      <w:r>
        <w:t xml:space="preserve">Establish environments, CI/CD, telemetry, backup/restore and incident ownership from Infrastructure.</w:t>
      </w:r>
    </w:p>
    <w:p>
      <w:pPr>
        <w:pStyle w:val="Compact"/>
        <w:numPr>
          <w:ilvl w:val="0"/>
          <w:numId w:val="1003"/>
        </w:numPr>
      </w:pPr>
      <w:r>
        <w:t xml:space="preserve">Build contract, isolation, concurrency, recovery and AI evaluation suites before production rollout.</w:t>
      </w:r>
    </w:p>
    <w:bookmarkEnd w:id="23"/>
    <w:bookmarkStart w:id="24" w:name="source-precedenc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Source precedence</w:t>
      </w:r>
    </w:p>
    <w:p>
      <w:pPr>
        <w:pStyle w:val="FirstParagraph"/>
      </w:pPr>
      <w:r>
        <w:t xml:space="preserve">Current Product Strategy and updated PRD govern product intent; approved System Architecture governs technical gates;</w:t>
      </w:r>
      <w:r>
        <w:t xml:space="preserve"> </w:t>
      </w:r>
      <w:r>
        <w:rPr>
          <w:rStyle w:val="VerbatimChar"/>
        </w:rPr>
        <w:t xml:space="preserve">02_AI_INTELLIGENCE</w:t>
      </w:r>
      <w:r>
        <w:t xml:space="preserve"> </w:t>
      </w:r>
      <w:r>
        <w:t xml:space="preserve">governs AI runtime behaviour; Experience and Requirements Traceability govern interaction and verification alignment; BRD supports business context. Inconsistencies or missing evidence should be recorded as open decisions, not silently reconciled.</w:t>
      </w:r>
    </w:p>
    <w:bookmarkEnd w:id="24"/>
    <w:bookmarkEnd w:id="25"/>
    <w:sectPr>
      <w:headerReference w:type="default" r:id="rId9"/>
      <w:footerReference w:type="default" r:id="rId10"/>
      <w:pgMar w:top="1008" w:bottom="1008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Tattava Copilot • V1 Narrative Intelligence • Controlled technical baseline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973"/>
        <w:sz w:val="16"/>
      </w:rPr>
      <w:t>TATTAVA CO  |  03_TECHNICAL  |  ENGINEERING SPECIFICATION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2026-10-06T11:44:05Z</dcterms:created>
  <dcterms:modified xsi:type="dcterms:W3CDTF">2026-10-06T11:44:05Z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