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4A"/>
          <w:sz w:val="44"/>
        </w:rPr>
        <w:t>04 Regression Suite</w:t>
      </w:r>
    </w:p>
    <w:p>
      <w:pPr>
        <w:jc w:val="center"/>
      </w:pPr>
      <w:r>
        <w:rPr>
          <w:i/>
          <w:sz w:val="20"/>
        </w:rPr>
        <w:t>Tattava Copilot · Tattava Co. / Don Vanzara Showbiz LLP</w:t>
      </w:r>
    </w:p>
    <w:p/>
    <w:p>
      <w:pPr>
        <w:pStyle w:val="Heading1"/>
      </w:pPr>
      <w:r>
        <w:t>04 — Regression Suite</w:t>
      </w:r>
    </w:p>
    <w:p>
      <w:pPr>
        <w:spacing w:after="80"/>
      </w:pPr>
      <w:r>
        <w:t xml:space="preserve">Status: Proposed suite manifest and operating procedure. Tests have not been executed by this document.  </w:t>
      </w:r>
    </w:p>
    <w:p>
      <w:pPr>
        <w:spacing w:after="80"/>
      </w:pPr>
      <w:r>
        <w:t>Primary purpose: Detect regressions introduced by application, model, prompt, context, retrieval, memory, tool, dataset, evaluator, or infrastructure changes.</w:t>
      </w:r>
    </w:p>
    <w:p>
      <w:pPr>
        <w:pStyle w:val="Heading1"/>
      </w:pPr>
      <w:r>
        <w:t>1. Suite design</w:t>
      </w:r>
    </w:p>
    <w:p>
      <w:pPr>
        <w:spacing w:after="80"/>
      </w:pPr>
      <w:r>
        <w:t>Use layered suites to control feedback time while preserving hard release invariants. The fast smoke suite is small and deterministic; capability suites target changed components; the full suite covers cross-capability workflows, adversarial cases, fault injection and human-scored quality samples. Every release candidate runs all critical invariant checks, regardless of which component changed.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>flowchart TD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C[Code / model / prompt / retrieval / tool / dataset change] --&gt; I[Classify changed dependency]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I --&gt; S[Fast deterministic smoke]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S --&gt;|Fail| B[Block and triage]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S --&gt;|Pass| R[Relevant capability regression]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R --&gt;|Fail| B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R --&gt;|Pass| K[Critical invariant suite]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K --&gt;|Fail| B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K --&gt;|Pass| F[Full risk-weighted suite + human sample]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F --&gt;|Unresolved critical / required gate fails| B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F --&gt;|All approved gates pass| A[Quality report and release review]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B --&gt; X[Root cause, remediation, new regression]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X --&gt; S</w:t>
      </w:r>
    </w:p>
    <w:p>
      <w:pPr>
        <w:pStyle w:val="Heading1"/>
      </w:pPr>
      <w:r>
        <w:t>2. Regression suite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Suite ID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Suite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Cases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Core assertions</w:t>
            </w:r>
          </w:p>
        </w:tc>
        <w:tc>
          <w:tcPr>
            <w:tcW w:type="dxa" w:w="1704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REG-01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Smoke / project entry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EV-001;EV-002;EV-003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relevant PR/build; full release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Project create, intent, uncertainty state, clarification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Blocking for state corruption or false fact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REG-02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 and Story Brain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EV-004;EV-005;EV-006;EV-021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 resolver, retrieval, memory or prompt changes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Authorized context manifest, project isolation, current Canon preference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Zero leakage; critical failures block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REG-03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 and grounding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EV-007;EV-008;EV-009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 provider, retrieval, chunking, prompt changes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Provenance, conflicts, claim support, research-to-story separation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Fabricated consequential fact blocks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REG-04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Narrative task quality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EV-010;EV-011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Model/prompt/agent/format changes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Character consistency, brief/format adherence, reviewer rubric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high-severity score 0; gate pending approval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REG-05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Canon / approval / branch invariants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EV-012;EV-013;EV-014;EV-015;EV-029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build and release candidate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unauthorized mutation; branch isolation; optimistic concurrency; audit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Blocking suite; 100% deterministic pass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REG-06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 and continuity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EV-016;EV-017;EV-030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 schema, dependency graph, continuity changes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Readiness blockers, impact traceability, partial status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false ready/approved state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REG-07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Security / privacy / injection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EV-005;EV-019;EV-023;EV-025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release; provider/tool/access-policy change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Tenant/project isolation, injection, provider gate, deletion propagation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Zero known critical failures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REG-08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Reliability / recovery / observability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EV-018;EV-022;EV-024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Async worker, retry, queue, logging, run-state changes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Timeout, quota, partial success, audit completeness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state corruption; visible recoverable failure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REG-09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Cost / latency / reproducibility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EV-026;EV-027;EV-028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Model/provider/config changes and periodic baseline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Usage attribution, latency decomposition, repeated trial analysis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Baseline and budget must be approved before numeric gate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REG-10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Full end-to-end release suite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EV-001–EV-030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Before release candidate approval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Cross-capability workflow plus all critical invariant tests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unresolved critical blocker; report all unrun cases</w:t>
            </w:r>
          </w:p>
        </w:tc>
      </w:tr>
    </w:tbl>
    <w:p/>
    <w:p>
      <w:pPr>
        <w:pStyle w:val="Heading1"/>
      </w:pPr>
      <w:r>
        <w:t>3. Trigger-to-suite mapping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Change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Required suites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Additional checks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UI-only copy/layout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Smoke + affected UX tests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Accessibility and state clarity; do not rerun model benchmark unless prompt/behaviour changed.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Domain model/API/schema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Smoke + schema/state + critical invariants + affected end-to-end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Migration/compatibility and stale-version tests.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Model/provider version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Smoke + relevant capability suites + full critical suite + graded comparison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Record pricing/limits, output distribution, latency/cost and data-use policy.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Prompt/agent/orchestration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Relevant capability + tool + uncertainty + safety + critical suite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Compare task-specific rubrics and failure clusters.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Retrieval/chunking/embedding/index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Retrieval/context/research + isolation + grounding + critical suite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Permission filters, recall/precision labels, stale-index/deletion tests.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Memory/Canon/branch logic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Memory + state integrity + concurrency + audit + critical suite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Never accept an aggregate quality score as substitute for invariants.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Tool/integration change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Tool contract + quota/timeout/partial failure + privacy gates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Idempotency, retry budget, circuit-breaker and provider policy.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Dataset/rubric/evaluator change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Harness self-tests + calibration set + regression comparison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old/new evaluator version and any comparability break.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Infrastructure/queue/worker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Smoke + async recovery + load/concurrency + observability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  <w:t>Queue backlog, cancellation, retry storms, isolation and backup/restore where relevant.</w:t>
            </w:r>
          </w:p>
        </w:tc>
      </w:tr>
    </w:tbl>
    <w:p/>
    <w:p>
      <w:pPr>
        <w:pStyle w:val="Heading1"/>
      </w:pPr>
      <w:r>
        <w:t>4. Baseline and comparison rules</w:t>
      </w:r>
    </w:p>
    <w:p>
      <w:pPr>
        <w:spacing w:after="80"/>
      </w:pPr>
      <w:r>
        <w:t>A valid baseline is an identified, reproducible run bundle: application build; model/provider; prompt/config; retrieval/index; tool adapters; dataset and rubric versions; evaluator version; environment; run timestamp; results and adjudication. “Latest run” is not automatically the baseline. Baseline promotion requires owner review and a note explaining why it is representative.</w:t>
      </w:r>
    </w:p>
    <w:p>
      <w:pPr>
        <w:spacing w:after="80"/>
      </w:pPr>
      <w:r>
        <w:t>For comparable versions, run the same cases under the same fixtures. Prefer paired case-level comparisons. Report changed cases, not only aggregate delta. Use confidence intervals or repeated trials where stochastic variance could change the decision. If provider/model behavior changes materially, mark comparability limitations rather than implying a clean apples-to-apples comparison.</w:t>
      </w:r>
    </w:p>
    <w:p>
      <w:pPr>
        <w:pStyle w:val="Heading2"/>
      </w:pPr>
      <w:r>
        <w:t>Non-negotiable regression rules</w:t>
      </w:r>
    </w:p>
    <w:p>
      <w:pPr>
        <w:pStyle w:val="ListBullet"/>
      </w:pPr>
      <w:r>
        <w:t>Any known critical authorization, cross-project leakage, prompt-injection privilege bypass, privacy breach, or unauthorized Canon mutation blocks the candidate.</w:t>
      </w:r>
    </w:p>
    <w:p>
      <w:pPr>
        <w:pStyle w:val="ListBullet"/>
      </w:pPr>
      <w:r>
        <w:t>A failed required schema, state transition, audit link or expected-version assertion blocks the candidate.</w:t>
      </w:r>
    </w:p>
    <w:p>
      <w:pPr>
        <w:pStyle w:val="ListBullet"/>
      </w:pPr>
      <w:r>
        <w:t>A quality gain cannot offset a critical safety/security loss.</w:t>
      </w:r>
    </w:p>
    <w:p>
      <w:pPr>
        <w:pStyle w:val="ListBullet"/>
      </w:pPr>
      <w:r>
        <w:t>Missing/failed evaluator execution is not a pass. A flaky case is not silently removed from the denominator.</w:t>
      </w:r>
    </w:p>
    <w:p>
      <w:pPr>
        <w:pStyle w:val="ListBullet"/>
      </w:pPr>
      <w:r>
        <w:t>Quarantine requires evidence, owner, reason, expiry/review date and alternative coverage. Critical security cases cannot be casually quarantined.</w:t>
      </w:r>
    </w:p>
    <w:p>
      <w:pPr>
        <w:pStyle w:val="ListBullet"/>
      </w:pPr>
      <w:r>
        <w:t>Changes to thresholds/rubrics require versioning and impact analysis; never retune the gate after observing a failure without recording the policy change.</w:t>
      </w:r>
    </w:p>
    <w:p>
      <w:pPr>
        <w:pStyle w:val="Heading1"/>
      </w:pPr>
      <w:r>
        <w:t>5. Flakiness and repeated runs</w:t>
      </w:r>
    </w:p>
    <w:p>
      <w:pPr>
        <w:spacing w:after="80"/>
      </w:pPr>
      <w:r>
        <w:t>Classify variability as expected model stochasticity, unstable external dependency, test fixture defect, evaluator disagreement, race condition, or product nondeterminism. For high-risk probabilistic cases, repeat trials with pinned configuration and report trial count/distribution. For deterministic invariants, any reproducible failure is a fail; non-reproducibility does not erase the incident. Keep separate case count and trial count.</w:t>
      </w:r>
    </w:p>
    <w:p>
      <w:pPr>
        <w:spacing w:after="80"/>
      </w:pPr>
      <w:r>
        <w:t>Quarantine process: mark QUARANTINED; preserve failing and passing run IDs; create a defect; identify affected gate; define replacement coverage; obtain QA and relevant owner approval; set a review deadline; restore or retire with change log. Do not include quarantined tests in pass denominators without showing exclusion count.</w:t>
      </w:r>
    </w:p>
    <w:p>
      <w:pPr>
        <w:pStyle w:val="Heading1"/>
      </w:pPr>
      <w:r>
        <w:t>6. Failure triage and release process</w:t>
      </w:r>
    </w:p>
    <w:p>
      <w:pPr>
        <w:pStyle w:val="ListNumber"/>
      </w:pPr>
      <w:r>
        <w:t>**Detect:** retain exact run bundle and failing assertion/output evidence.</w:t>
      </w:r>
    </w:p>
    <w:p>
      <w:pPr>
        <w:pStyle w:val="ListNumber"/>
      </w:pPr>
      <w:r>
        <w:t>**Classify:** assign error taxonomy from framework; severity based on user/project harm and invariant breached.</w:t>
      </w:r>
    </w:p>
    <w:p>
      <w:pPr>
        <w:pStyle w:val="ListNumber"/>
      </w:pPr>
      <w:r>
        <w:t>**Contain:** block release, disable affected capability/provider, or restrict pilot as appropriate; do not silently degrade into unsafe behaviour.</w:t>
      </w:r>
    </w:p>
    <w:p>
      <w:pPr>
        <w:pStyle w:val="ListNumber"/>
      </w:pPr>
      <w:r>
        <w:t>**Diagnose:** reproduce with pinned dependencies; isolate app, context, retrieval, model/prompt, tool, evaluator or infrastructure layer.</w:t>
      </w:r>
    </w:p>
    <w:p>
      <w:pPr>
        <w:pStyle w:val="ListNumber"/>
      </w:pPr>
      <w:r>
        <w:t>**Fix:** update implementation or policy; document trade-offs and affected requirements.</w:t>
      </w:r>
    </w:p>
    <w:p>
      <w:pPr>
        <w:pStyle w:val="ListNumber"/>
      </w:pPr>
      <w:r>
        <w:t>**Regress:** rerun original case, nearby variants and critical suite; add a new case for novel failure mode.</w:t>
      </w:r>
    </w:p>
    <w:p>
      <w:pPr>
        <w:pStyle w:val="ListNumber"/>
      </w:pPr>
      <w:r>
        <w:t>**Review:** update report, baseline, owner and residual risk; only authorized governance roles can accept non-critical residual risk.</w:t>
      </w:r>
    </w:p>
    <w:p>
      <w:pPr>
        <w:pStyle w:val="Heading1"/>
      </w:pPr>
      <w:r>
        <w:t>7. Run record schema</w:t>
      </w:r>
    </w:p>
    <w:p>
      <w:pPr>
        <w:spacing w:after="80"/>
      </w:pPr>
      <w:r>
        <w:t>regression_run.json is a template, not a run result. Each execution record should include run ID, timestamp, environment, commit/build, model/provider, prompt, retrieval index, tool versions, dataset version, suite IDs, case/trial counts, status counts, metric summary, critical failures, skipped/quarantined cases with reasons, artifact references, evaluator version, baseline run ID, decision and approver. Sensitive output should be access-controlled or referenced rather than copied into broad logs.</w:t>
      </w:r>
    </w:p>
    <w:p>
      <w:pPr>
        <w:pStyle w:val="Heading1"/>
      </w:pPr>
      <w:r>
        <w:t>8. Release decision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security/privacy/Canon invariants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Link to required suite run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Security / Engineering / QA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BLOCKED until evidence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Core deterministic contracts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Contract-test run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/ QA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BLOCKED until evidence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Core capability quality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Dataset + rubric results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Product / AI / domain reviewer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Pending approved thresholds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Regression delta vs valid baseline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Baseline run ID required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QA / AI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 trend claim possible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Latency/cost budget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ESTABLISHED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Representative telemetry required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/ Product / Finance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Instrument and approve budget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Outstanding blockers and waivers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ASSESSED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Defect/decision register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Accountable owners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 release approval implied</w:t>
            </w:r>
          </w:p>
        </w:tc>
      </w:tr>
    </w:tbl>
    <w:p/>
    <w:p>
      <w:pPr>
        <w:pStyle w:val="Heading1"/>
      </w:pPr>
      <w:r>
        <w:t>9. Implementation plan</w:t>
      </w:r>
    </w:p>
    <w:p>
      <w:pPr>
        <w:spacing w:after="80"/>
      </w:pPr>
      <w:r>
        <w:t>Recommended order: (1) deterministic Canon/auth/isolation/schema tests; (2) durable run/test-result schema and artifact storage; (3) golden case loader and versioned fixture setup; (4) context/retrieval/tool trace capture; (5) rubric workflow and adjudication; (6) baseline comparison/report generation; (7) CI triggers and release gate enforcement; (8) production feedback intake with privacy review. Do not claim the suite is automated until the harness and CI evidence exist.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working specification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TATTAVA COPILOT  |  04_EVALUATION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