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4A"/>
          <w:sz w:val="44"/>
        </w:rPr>
        <w:t>README</w:t>
      </w:r>
    </w:p>
    <w:p>
      <w:pPr>
        <w:jc w:val="center"/>
      </w:pPr>
      <w:r>
        <w:rPr>
          <w:i/>
          <w:sz w:val="20"/>
        </w:rPr>
        <w:t>Tattava Copilot · Tattava Co. / Don Vanzara Showbiz LLP</w:t>
      </w:r>
    </w:p>
    <w:p/>
    <w:p>
      <w:pPr>
        <w:pStyle w:val="Heading1"/>
      </w:pPr>
      <w:r>
        <w:t>04_EVALUATION — Tattava Copilot</w:t>
      </w:r>
    </w:p>
    <w:p>
      <w:pPr>
        <w:spacing w:after="80"/>
      </w:pPr>
      <w:r>
        <w:t xml:space="preserve">Product boundary: V1 Narrative Intelligence  </w:t>
      </w:r>
    </w:p>
    <w:p>
      <w:pPr>
        <w:spacing w:after="80"/>
      </w:pPr>
      <w:r>
        <w:t>Package status: Evaluation design and candidate test artifacts; not evidence of execution, validation, or release approval.</w:t>
      </w:r>
    </w:p>
    <w:p>
      <w:pPr>
        <w:pStyle w:val="Heading1"/>
      </w:pPr>
      <w:r>
        <w:t>Documents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`01_AI_Evaluation_Framework.md`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Quality model, methodology, evaluator governance, proposed release gates, error taxonomy and traceability.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`02_Golden_Dataset.md`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Dataset schema, governance, promotion workflow and 30 synthetic candidate cases.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`03_Evaluation_Cases.md`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30 proposed detailed evaluation cases, execution procedures and high-risk test specifications.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`04_Regression_Suite.md`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10 regression suites, trigger mapping, baseline rules, triage and release template.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`05_AI_Quality_Report.md`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Leadership report template; all actual results are unavailable/not run.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`golden_dataset.jsonl` / `.csv`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Machine-readable synthetic candidate dataset.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`evaluation_cases.jsonl` / `.csv`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Machine-readable case library.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`regression_manifest.json`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Proposed regression suites and gate defaults; no run results.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`regression_run_template.json`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Blank run-record template.</w:t>
            </w:r>
          </w:p>
        </w:tc>
      </w:tr>
    </w:tbl>
    <w:p/>
    <w:p>
      <w:pPr>
        <w:spacing w:after="80"/>
      </w:pPr>
      <w:r>
        <w:t>Each Markdown document has a corresponding DOCX. Markdown preserves Mermaid source and technical tables. DOCX uses consistent headings, tables, headers/footers and page numbers; Mermaid source is retained as readable code where diagram rendering is not available.</w:t>
      </w:r>
    </w:p>
    <w:p>
      <w:pPr>
        <w:pStyle w:val="Heading1"/>
      </w:pPr>
      <w:r>
        <w:t>How to interpret the package</w:t>
      </w:r>
    </w:p>
    <w:p>
      <w:pPr>
        <w:pStyle w:val="ListBullet"/>
      </w:pPr>
      <w:r>
        <w:t>**Source-stated:** grounded in product/technical source material.</w:t>
      </w:r>
    </w:p>
    <w:p>
      <w:pPr>
        <w:pStyle w:val="ListBullet"/>
      </w:pPr>
      <w:r>
        <w:t>**Proposed:** recommended operating default that still needs accountable approval.</w:t>
      </w:r>
    </w:p>
    <w:p>
      <w:pPr>
        <w:pStyle w:val="ListBullet"/>
      </w:pPr>
      <w:r>
        <w:t>**Candidate:** synthetic example awaiting expert validation.</w:t>
      </w:r>
    </w:p>
    <w:p>
      <w:pPr>
        <w:pStyle w:val="ListBullet"/>
      </w:pPr>
      <w:r>
        <w:t>**Not run / unavailable:** no execution evidence exists in the reviewed source set.</w:t>
      </w:r>
    </w:p>
    <w:p>
      <w:pPr>
        <w:pStyle w:val="ListBullet"/>
      </w:pPr>
      <w:r>
        <w:t>**Human-validated golden:** must be assigned only after review and adjudication evidence is recorded.</w:t>
      </w:r>
    </w:p>
    <w:p>
      <w:pPr>
        <w:pStyle w:val="Heading1"/>
      </w:pPr>
      <w:r>
        <w:t>Open questions handled with defaults</w:t>
      </w:r>
    </w:p>
    <w:p>
      <w:pPr>
        <w:spacing w:after="80"/>
      </w:pPr>
      <w:r>
        <w:t>This package resolves methodological gaps with conservative recommendations: invariant gates are separate from graded quality; no critical failures are allowed for security/authorization/Canon invariants; candidate goldens require expert review; missing results are never counted as passes; model judges are secondary and calibrated; numeric latency/cost targets are set only after representative telemetry. These defaults are proposed, not falsely represented as already approved policy.</w:t>
      </w:r>
    </w:p>
    <w:p>
      <w:pPr>
        <w:pStyle w:val="Heading1"/>
      </w:pPr>
      <w:r>
        <w:t>Source alignment</w:t>
      </w:r>
    </w:p>
    <w:p>
      <w:pPr>
        <w:spacing w:after="80"/>
      </w:pPr>
      <w:r>
        <w:t>Built against the available updated Product Strategy, consolidated PRD, BRD, Product Scope, Requirements Traceability, Experience specifications, AI Intelligence specifications and Technical documentation. Preserve the source's core principles: project-centric intelligence; unknown remains unknown; evidence, interpretation, creative decision and Canon are distinct; AI cannot silently mutate Canon; and release quality must include safety, provenance and human control. The exact mapping of FR-021–FR-024 and some source-version precedence should be confirmed against the controlled PRD register before formal audit use.</w:t>
      </w:r>
    </w:p>
    <w:p>
      <w:pPr>
        <w:pStyle w:val="Heading1"/>
      </w:pPr>
      <w:r>
        <w:t>Suggested implementation sequence</w:t>
      </w:r>
    </w:p>
    <w:p>
      <w:pPr>
        <w:pStyle w:val="ListNumber"/>
      </w:pPr>
      <w:r>
        <w:t>Build deterministic authorization, isolation, Canon, concurrency and schema tests.</w:t>
      </w:r>
    </w:p>
    <w:p>
      <w:pPr>
        <w:pStyle w:val="ListNumber"/>
      </w:pPr>
      <w:r>
        <w:t>Promote high-risk candidate examples to reviewed golden status.</w:t>
      </w:r>
    </w:p>
    <w:p>
      <w:pPr>
        <w:pStyle w:val="ListNumber"/>
      </w:pPr>
      <w:r>
        <w:t>Capture durable run metadata, context manifests, tool traces and evidence.</w:t>
      </w:r>
    </w:p>
    <w:p>
      <w:pPr>
        <w:pStyle w:val="ListNumber"/>
      </w:pPr>
      <w:r>
        <w:t>Implement case runner, rubric capture and adjudication.</w:t>
      </w:r>
    </w:p>
    <w:p>
      <w:pPr>
        <w:pStyle w:val="ListNumber"/>
      </w:pPr>
      <w:r>
        <w:t>Wire REG-01–REG-10 into change-triggered CI and release review.</w:t>
      </w:r>
    </w:p>
    <w:p>
      <w:pPr>
        <w:pStyle w:val="ListNumber"/>
      </w:pPr>
      <w:r>
        <w:t>Generate AI Quality Report from actual run artifacts; never populate results manually without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working specification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TATTAVA COPILOT  |  04_EVALUATION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