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Threat Model — Tattava Copilot</w:t>
      </w:r>
    </w:p>
    <w:p>
      <w:r/>
      <w:r>
        <w:rPr>
          <w:b/>
        </w:rPr>
        <w:t>Product:</w:t>
      </w:r>
      <w:r>
        <w:t xml:space="preserve"> Tattava Copilot | </w:t>
      </w:r>
      <w:r>
        <w:rPr>
          <w:b/>
        </w:rPr>
        <w:t>Company:</w:t>
      </w:r>
      <w:r>
        <w:t xml:space="preserve"> Tattava Co. / Don Vanzara Showbiz LLP</w:t>
      </w:r>
    </w:p>
    <w:p>
      <w:r/>
      <w:r>
        <w:rPr>
          <w:b/>
        </w:rPr>
        <w:t>Baseline:</w:t>
      </w:r>
      <w:r>
        <w:t xml:space="preserve"> V1 — Narrative Intelligence | </w:t>
      </w:r>
      <w:r>
        <w:rPr>
          <w:b/>
        </w:rPr>
        <w:t>Version:</w:t>
      </w:r>
      <w:r>
        <w:t xml:space="preserve"> 1.0 | </w:t>
      </w:r>
      <w:r>
        <w:rPr>
          <w:b/>
        </w:rPr>
        <w:t>Status:</w:t>
      </w:r>
      <w:r>
        <w:t xml:space="preserve"> Implementation specification; controls require verification before release</w:t>
      </w:r>
    </w:p>
    <w:p>
      <w:r/>
      <w:r>
        <w:rPr>
          <w:b/>
        </w:rPr>
        <w:t>Audience:</w:t>
      </w:r>
      <w:r>
        <w:t xml:space="preserve"> Product, Security, Privacy, Backend, AI/ML, Platform, QA, Operations</w:t>
      </w:r>
    </w:p>
    <w:p>
      <w:pPr>
        <w:pStyle w:val="Heading1"/>
      </w:pPr>
      <w:r>
        <w:t>1. Executive decision</w:t>
      </w:r>
    </w:p>
    <w:p>
      <w:r>
        <w:t>Tattava must be treated as a multi-user, project-scoped system handling confidential creative intellectual property. Its primary security property is that a user or AI workflow can only access and change the project state permitted by server-side policy. The deterministic application core—not prompts, model output, vector indexes, or agent scratchpads—owns identity decisions, authorization, Canon, approvals, version history, and audit events.</w:t>
      </w:r>
    </w:p>
    <w:p>
      <w:r/>
      <w:r>
        <w:rPr>
          <w:b/>
        </w:rPr>
        <w:t>Recommended defaults that resolve implementation ambiguity:</w:t>
      </w:r>
      <w:r>
        <w:t xml:space="preserve"> (1) deny by default; (2) enforce authorization on every request and again at each sensitive execution boundary; (3) isolate by organization and project in all primary and derived stores; (4) treat uploads, web pages, retrieved passages, model output, and tool results as untrusted; (5) allow only registered tools and approved destinations; (6) require an authorized domain command and expected-version check for Canon changes; (7) do not route sensitive project content to a provider unless its route is explicitly approved for that data class; (8) make security-critical failures fail closed. These defaults are proposed engineering policy, not evidence of controls already deployed.</w:t>
      </w:r>
    </w:p>
    <w:p>
      <w:pPr>
        <w:pStyle w:val="Heading1"/>
      </w:pPr>
      <w:r>
        <w:t>2. Scope, source authority, and status conventions</w:t>
      </w:r>
    </w:p>
    <w:p>
      <w:r>
        <w:t>This model covers browser/API ingress, identity and policy enforcement, project domain core, Canon and candidate services, context assembly, retrieval/evidence, AI orchestration, Model Gateway, tool execution, asynchronous workers, storage, exports, telemetry, and external providers. It does not claim a specific cloud, identity vendor, database, deployment, or production security certification.</w:t>
      </w:r>
    </w:p>
    <w:p>
      <w:r>
        <w:t xml:space="preserve">Source precedence: current Product Strategy and consolidated PRD for product intent; approved System Architecture for technical invariants; </w:t>
      </w:r>
      <w:r>
        <w:rPr>
          <w:rFonts w:ascii="Consolas" w:hAnsi="Consolas"/>
          <w:sz w:val="16"/>
        </w:rPr>
        <w:t>02_AI_INTELLIGENCE</w:t>
      </w:r>
      <w:r>
        <w:t xml:space="preserve"> specifications for AI runtime and guardrails; Experience and Requirements Traceability for interaction and verification expectations; BRD for business context. Architecture establishes that Canon is typed/versioned and authoritative, AI candidates are non-canonical until governed approval, context and retrieval must be project-scoped, tool execution is policy-controlled, and exact role permissions and provider/data terms remain open.</w:t>
      </w:r>
    </w:p>
    <w:p>
      <w:r>
        <w:t xml:space="preserve">Labels: </w:t>
      </w:r>
      <w:r>
        <w:rPr>
          <w:b/>
        </w:rPr>
        <w:t>CONFIRMED</w:t>
      </w:r>
      <w:r>
        <w:t xml:space="preserve"> means supported by source materials; </w:t>
      </w:r>
      <w:r>
        <w:rPr>
          <w:b/>
        </w:rPr>
        <w:t>PROPOSED</w:t>
      </w:r>
      <w:r>
        <w:t xml:space="preserve"> means recommended control or implementation contract; </w:t>
      </w:r>
      <w:r>
        <w:rPr>
          <w:b/>
        </w:rPr>
        <w:t>UNVERIFIED</w:t>
      </w:r>
      <w:r>
        <w:t xml:space="preserve"> means implementation evidence is absent; </w:t>
      </w:r>
      <w:r>
        <w:rPr>
          <w:b/>
        </w:rPr>
        <w:t>OPEN DECISION</w:t>
      </w:r>
      <w:r>
        <w:t xml:space="preserve"> means a named accountable owner must approve policy. A threat register entry is not proof that mitigation exists.</w:t>
      </w:r>
    </w:p>
    <w:p>
      <w:pPr>
        <w:pStyle w:val="Heading1"/>
      </w:pPr>
      <w:r>
        <w:t>3. Assets, actors, and security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Asset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Security objective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Default classification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Notes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Unreleased scripts, story concepts, Canon, pitch package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Confidentiality, integrity, availability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Restricted project IP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Highest protection tier by default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Project membership, role grants, approvals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Integrity and non-repudiation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Restricted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Authorization source of truth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Research sources, extracted evidence, citations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Integrity, provenance, scope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Confidential project data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Source material may be untrusted or rights-limited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Prompts, context manifests, model outputs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Confidentiality and correct handling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Same as most sensitive included context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Minimize provider payloads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Credentials, signing keys, provider tokens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Confidentiality and rotation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Secret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Never expose to model or end user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Audit events and security telemetry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Integrity, access restriction, usefulness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Confidential/security-sensitive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Avoid raw content unless necessary and approved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Embeddings, caches, indexes, exports, backups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Same as underlying source data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Inherit source classification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Derived copies remain in scope</w:t>
            </w:r>
          </w:p>
        </w:tc>
      </w:tr>
    </w:tbl>
    <w:p>
      <w:pPr>
        <w:spacing w:after="20"/>
      </w:pPr>
    </w:p>
    <w:p>
      <w:r>
        <w:t>Actors include Producer, Content Head, Creative Director, Writer, Researcher, authenticated service identities, administrators/operators, approved model providers, approved external research/tool providers, and attackers acting as anonymous users, compromised accounts, malicious insiders, or malicious content authors. Role names are not themselves permission grants. Producer is final project authority; Content Head and Creative Director are parallel authority domains under Producer; exact action-level grants remain configurable until approved. Never associate a person’s name with a role without explicit confirmation.</w:t>
      </w:r>
    </w:p>
    <w:p>
      <w:r>
        <w:t>Security objectives: no cross-organization/project leakage; no unauthorized state mutation or export; no silent Canon changes; no secret disclosure; no unapproved provider routing; traceable consequential actions; bounded agent authority and spend; recoverable authoritative state; transparent handling of partial failure.</w:t>
      </w:r>
    </w:p>
    <w:p>
      <w:pPr>
        <w:pStyle w:val="Heading1"/>
      </w:pPr>
      <w:r>
        <w:t>4. System context and trust boundaries</w:t>
      </w:r>
    </w:p>
    <w:p>
      <w:pPr>
        <w:spacing w:after="120"/>
        <w:ind w:left="216"/>
      </w:pPr>
      <w:r>
        <w:rPr>
          <w:rFonts w:ascii="Consolas" w:hAnsi="Consolas"/>
          <w:sz w:val="15"/>
        </w:rPr>
        <w:t>flowchart LR</w:t>
        <w:br/>
        <w:t xml:space="preserve">  A[User / Browser] --&gt;|TLS, session| B[API Edge]</w:t>
        <w:br/>
        <w:t xml:space="preserve">  B --&gt; C[Identity + Policy Enforcement]</w:t>
        <w:br/>
        <w:t xml:space="preserve">  C --&gt; D[Domain Core / Canon / Decisions]</w:t>
        <w:br/>
        <w:t xml:space="preserve">  C --&gt; E[AI Run Orchestrator]</w:t>
        <w:br/>
        <w:t xml:space="preserve">  E --&gt; F[Context Resolver]</w:t>
        <w:br/>
        <w:t xml:space="preserve">  F --&gt; G[Authorized Retrieval + Evidence]</w:t>
        <w:br/>
        <w:t xml:space="preserve">  G --&gt; H[(Documents / Indexes / Cache)]</w:t>
        <w:br/>
        <w:t xml:space="preserve">  E --&gt; I[Model Gateway]</w:t>
        <w:br/>
        <w:t xml:space="preserve">  I --&gt; J[Approved Model Provider]</w:t>
        <w:br/>
        <w:t xml:space="preserve">  E --&gt; K[Tool Gateway]</w:t>
        <w:br/>
        <w:t xml:space="preserve">  K --&gt; L[Approved External Tools]</w:t>
        <w:br/>
        <w:t xml:space="preserve">  D --&gt; M[(Audit / Telemetry)]</w:t>
        <w:br/>
        <w:t xml:space="preserve">  E --&gt; M</w:t>
        <w:br/>
        <w:t xml:space="preserve">  J --&gt;|Untrusted result| E</w:t>
        <w:br/>
        <w:t xml:space="preserve">  L --&gt;|Untrusted result| E</w:t>
      </w:r>
    </w:p>
    <w:p>
      <w:r>
        <w:t>The diagram is logical, not a claim about deployed infrastructure. Trust boundaries are: client-to-server; identity/policy-to-domain; application-to-storage; orchestrator-to-model provider; retrieval-to-AI context; tool gateway-to-external destination; background worker-to-resource; and restricted content-to-telemetry. Validate at the receiving boundary; do not rely on validation performed only by a prior component.</w:t>
      </w:r>
    </w:p>
    <w:p>
      <w:pPr>
        <w:pStyle w:val="Heading2"/>
      </w:pPr>
      <w:r>
        <w:t>4.1 Threat-handling principles</w:t>
      </w:r>
    </w:p>
    <w:p>
      <w:pPr>
        <w:pStyle w:val="ListNumber"/>
      </w:pPr>
      <w:r>
        <w:t>**Identity before resource access:** resolve actor and organization from trusted session/token claims, not request-supplied tenant IDs alone.</w:t>
      </w:r>
    </w:p>
    <w:p>
      <w:pPr>
        <w:pStyle w:val="ListNumber"/>
      </w:pPr>
      <w:r>
        <w:t>**Authorization before retrieval:** filter candidate documents and chunks by access scope before content is assembled for the model. Post-filtering only after model exposure is insufficient.</w:t>
      </w:r>
    </w:p>
    <w:p>
      <w:pPr>
        <w:pStyle w:val="ListNumber"/>
      </w:pPr>
      <w:r>
        <w:t>**Untrusted instructions stay data:** source documents and web pages cannot override system policy, grant permissions, or authorize tools.</w:t>
      </w:r>
    </w:p>
    <w:p>
      <w:pPr>
        <w:pStyle w:val="ListNumber"/>
      </w:pPr>
      <w:r>
        <w:t>**Model output is a proposal:** parse against schema, validate domain invariants, then obtain human approval when required; commit through deterministic domain commands.</w:t>
      </w:r>
    </w:p>
    <w:p>
      <w:pPr>
        <w:pStyle w:val="ListNumber"/>
      </w:pPr>
      <w:r>
        <w:t>**No ambient authority:** agents inherit only the narrow task scope and explicit tool grants, not broad service credentials.</w:t>
      </w:r>
    </w:p>
    <w:p>
      <w:pPr>
        <w:pStyle w:val="ListNumber"/>
      </w:pPr>
      <w:r>
        <w:t>**No silent fallback:** provider, storage, or policy failure must not bypass a privacy or authorization restriction.</w:t>
      </w:r>
    </w:p>
    <w:p>
      <w:pPr>
        <w:pStyle w:val="ListNumber"/>
      </w:pPr>
      <w:r>
        <w:t>**Derived copies inherit controls:** embeddings, caches, logs, exports, and backups are governed by the source’s scope and lifecycle.</w:t>
      </w:r>
    </w:p>
    <w:p>
      <w:pPr>
        <w:pStyle w:val="Heading1"/>
      </w:pPr>
      <w:r>
        <w:t>5. STRIDE threat register</w:t>
      </w:r>
    </w:p>
    <w:p>
      <w:r>
        <w:t>Likelihood is a qualitative initial estimate (Low/Medium/High), not a measured frequency. Severity: Critical / High / Medium / Low. Reassess after architecture and penetration testing.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vAlign w:val="center"/>
            <w:shd w:fill="D9EAF7"/>
          </w:tcPr>
          <w:p>
            <w:r/>
            <w:r>
              <w:rPr>
                <w:b/>
                <w:sz w:val="14"/>
              </w:rPr>
              <w:t>ID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b/>
                <w:sz w:val="14"/>
              </w:rPr>
              <w:t>Threat / STRIDE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b/>
                <w:sz w:val="14"/>
              </w:rPr>
              <w:t>Attack path and preconditions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b/>
                <w:sz w:val="14"/>
              </w:rPr>
              <w:t>Impact / initial rating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b/>
                <w:sz w:val="14"/>
              </w:rPr>
              <w:t>Proposed control and enforcement</w:t>
            </w:r>
          </w:p>
        </w:tc>
        <w:tc>
          <w:tcPr>
            <w:tcW w:type="dxa" w:w="1694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THREAT-001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Cross-project/tenant read (Information Disclosure)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Attacker changes project ID, abuses search filters, cache key, worker payload, or retrieval query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IP breach; Critical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IAM-001, DATA-001: derive scope from trusted identity; enforce scope in DB, retrieval, cache, exports and jobs; deny on missing scope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SEC-T001, SEC-T002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THREAT-002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Unauthorized Canon mutation (Tampering/Elevation)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Model or user submits candidate as canonical, bypasses approval or stale-version check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Creative/IP integrity loss; Critical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SEC-004: only domain command can commit; policy check, approval reference, expected version and atomic write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SEC-T003, SEC-T004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THREAT-003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Direct/indirect prompt injection (Elevation/Tampering)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User prompt, PDF, OCR, web page, or retrieved story text contains instructions to reveal data/call tools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Exfiltration, unsafe action; Critical / High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SEC-005: content/instruction separation, tool allowlist, policy outside model, source labeling, adversarial eval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SEC-T005–T007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THREAT-004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Secret or prompt disclosure (Information Disclosure)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Model output, logs, error, or tool result includes credentials/system prompts/other project data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Confidentiality breach; Critical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Secret isolation, redaction, least-privilege context, output DLP as supplemental, safe errors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SEC-T008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THREAT-005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Unauthorized tool call / SSRF-like fetch (Elevation)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Model crafts arbitrary URL, internal address, filesystem or side-effect operation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Internal access or side effect; Critical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SEC-006: typed registered tools, destination allowlist, egress controls, argument validation, per-tool authorization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SEC-T009–T011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THREAT-006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Malicious file/parser payload (Tampering/DoS)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Crafted PDF/doc, oversized file, archive bomb, parser exploit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Worker compromise or availability; High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Isolated parsing, MIME/signature checks, size/page limits (limits must be configured), malware scanning where available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SEC-T012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THREAT-007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Compromised account / role escalation (Elevation)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Session theft, weak lifecycle, improper role grant or direct-object reference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Unauthorized access/approval; Critical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MFA for privileged access (proposed), short-lived sessions, re-auth for sensitive actions, access review, policy tests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SEC-T013–T015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THREAT-008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Retrieval poisoning / fabricated evidence (Tampering)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Malicious source, altered index, generated citation, stale source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False historical claims; High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Source/evidence/claim separation, source metadata, provenance validation, source fetch evidence, no LLM-only citation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SEC-T016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THREAT-009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Memory contamination (Tampering)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Candidate, rejected branch, or malicious instruction becomes persistent project truth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Cross-run corruption; High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Canon outside memory; memory writes typed, scoped, versioned and governed; rejected candidates excluded from canonical context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SEC-T017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THREAT-010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Unbounded agent loop / retry storm (DoS)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Agent loops or provider errors trigger recursive retries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Cost spike, degraded service; High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Run budget, deadline, max tool/step count, queue limits, cancellation, circuit breaker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SEC-T018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THREAT-011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Stale concurrent update / replay (Tampering)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Concurrent approvals or duplicate retry applies a stale patch twice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Canon corruption; Critical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Expected-version compare-and-swap, idempotency keys, atomic transaction, stale command rejected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SEC-T019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THREAT-012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Sensitive content sent to unapproved provider (Information Disclosure)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Fallback routes confidential IP to a provider with unknown data terms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IP exposure; Critical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Data-class routing policy in Model Gateway; provider allowlist; fail closed when no approved route exists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SEC-T020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THREAT-013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Audit tampering or excessive log access (Repudiation/Disclosure)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Privileged actor alters/reads records; logs contain scripts or tokens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Incident cannot be reconstructed; High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Append-oriented audit, restricted access, integrity protection, retention decision, content minimization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SEC-T021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THREAT-014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Deletion leaves residual copies (Information Disclosure)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Primary row deleted but index, cache, export, backup or provider copy remains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False privacy promise; High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Deletion orchestration with per-store receipts, tombstones, provider deletion evidence and exception reporting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SEC-T022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THREAT-015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Denial-of-service via resource exhaustion (DoS)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Oversized input, high concurrency, abusive requests, expensive retrieval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Availability and cost loss; High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Request quotas, upload bounds, queue backpressure, per-project budgets and rate limiting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SEC-T023</w:t>
            </w:r>
          </w:p>
        </w:tc>
      </w:tr>
      <w:tr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THREAT-016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Unsafe export/share (Information Disclosure)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Package includes inaccessible docs, hidden metadata, internal prompts or wrong branch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IP leak; Critical / Medium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Export-time authorization and content allowlist; manifest and audit; no secrets/system prompts in export</w:t>
            </w:r>
          </w:p>
        </w:tc>
        <w:tc>
          <w:tcPr>
            <w:tcW w:type="dxa" w:w="1694"/>
            <w:vAlign w:val="center"/>
          </w:tcPr>
          <w:p>
            <w:r/>
            <w:r>
              <w:rPr>
                <w:b w:val="0"/>
                <w:sz w:val="14"/>
              </w:rPr>
              <w:t>SEC-T024</w:t>
            </w:r>
          </w:p>
        </w:tc>
      </w:tr>
    </w:tbl>
    <w:p>
      <w:pPr>
        <w:spacing w:after="20"/>
      </w:pPr>
    </w:p>
    <w:p>
      <w:pPr>
        <w:pStyle w:val="Heading1"/>
      </w:pPr>
      <w:r>
        <w:t>6. Security controls — implementation contracts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Control ID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Requirement and enforcement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Required behavior / failure mode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Owner / status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Authenticate human and service actors at API and worker boundaries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Reject missing/invalid/expired identity; never trust client role claims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Backend + Platform / Proposed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Validate organization/project membership for every resource operation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Missing or ambiguous scope → deny; no global fallback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Backend / Proposed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Authorize each action against actor, resource, action, context and policy version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Default deny; sensitive operation fails closed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Security + Backend / Proposed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Govern Canon mutation in domain core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Candidate stays non-canonical until approval, version validation and atomic commit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Backend + Product / Confirmed invariant; implementation unverified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Separate trusted instructions from untrusted content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Injection text cannot change policy or expand access; unsafe tool proposals denied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AI/ML + Security / Proposed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Centralize tool registration and execution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Registered schema only; explicit actor/project scope; destination and side-effect policy checked at execution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AI Platform / Proposed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Enforce provider routing by data class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No approved provider for a class → do not send payload; report blocked/awaiting decision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AI Platform + Privacy / Proposed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Minimize and redact sensitive telemetry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No tokens/secrets; raw project content excluded by default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Platform + Privacy / Proposed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Bound all AI runs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Enforce max steps, tool calls, wall-clock deadline, tokens/cost and concurrency; partial status on stop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AI Platform / Confirmed design principle; values open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Protect against stale writes and duplicate execution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Expected version and idempotency for retryable mutations; duplicate returns original outcome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Backend / Proposed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SEC-011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Secure file ingestion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Type/size validation, isolated parsing, safe storage, malware checks where available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Backend + Platform / Limits open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Audit consequential operations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Actor, scope, action, target, decision, versions, correlation ID and outcome; never log secrets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Security + Backend / Proposed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SEC-013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Protect exports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Re-authorize at generation and download; scope content and branch; audit export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Backend / Proposed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Rate-limit and isolate workload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Limits by actor, project, provider and operation; queue backpressure and circuit breakers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Platform / Proposed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SEC-015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Secure deployment and secrets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Least privilege, secret manager, rotation, protected CI/CD, dependency scanning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Platform / Proposed; infrastructure vendor open</w:t>
            </w:r>
          </w:p>
        </w:tc>
      </w:tr>
    </w:tbl>
    <w:p>
      <w:pPr>
        <w:spacing w:after="20"/>
      </w:pPr>
    </w:p>
    <w:p>
      <w:pPr>
        <w:pStyle w:val="Heading1"/>
      </w:pPr>
      <w:r>
        <w:t>7. Representative authorization pseudocode</w:t>
      </w:r>
    </w:p>
    <w:p>
      <w:pPr>
        <w:spacing w:after="120"/>
        <w:ind w:left="216"/>
      </w:pPr>
      <w:r>
        <w:rPr>
          <w:rFonts w:ascii="Consolas" w:hAnsi="Consolas"/>
          <w:sz w:val="15"/>
        </w:rPr>
        <w:t>authorize(actor, action, resource, context):</w:t>
        <w:br/>
        <w:t xml:space="preserve">  if actor is missing or session invalid: DENY</w:t>
        <w:br/>
        <w:t xml:space="preserve">  if resource.organization_id != actor.active_organization_id: DENY</w:t>
        <w:br/>
        <w:t xml:space="preserve">  if actor is not active member of resource.organization: DENY</w:t>
        <w:br/>
        <w:t xml:space="preserve">  if resource.project_id exists and actor lacks project access: DENY</w:t>
        <w:br/>
        <w:t xml:space="preserve">  policy = load_current_policy(resource, action)</w:t>
        <w:br/>
        <w:t xml:space="preserve">  if policy is missing or action is not explicitly granted: DENY</w:t>
        <w:br/>
        <w:t xml:space="preserve">  if action is consequential:</w:t>
        <w:br/>
        <w:t xml:space="preserve">      require fresh authorization</w:t>
        <w:br/>
        <w:t xml:space="preserve">      require required approval record(s)</w:t>
        <w:br/>
        <w:t xml:space="preserve">      require expected resource version</w:t>
        <w:br/>
        <w:t xml:space="preserve">  return ALLOW with minimal scoped capability</w:t>
      </w:r>
    </w:p>
    <w:p>
      <w:r>
        <w:t>For an agent, the executor must re-check the initiating human’s grant, task scope, tool-specific permission, and current resource state immediately before the call. A model’s suggestion or tool availability is never authorization. Background jobs must carry a signed/validated scope reference and re-resolve current access; queued work does not preserve revoked access indefinitely.</w:t>
      </w:r>
    </w:p>
    <w:p>
      <w:pPr>
        <w:pStyle w:val="Heading1"/>
      </w:pPr>
      <w:r>
        <w:t>8. Threat-to-control-to-test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Threat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Controls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Verification IDs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Release policy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THREAT-001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SEC-002, SEC-003, SEC-013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SEC-T001, T002, T024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Block on any cross-scope leakage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THREAT-002, THREAT-011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SEC-004, SEC-010, SEC-012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SEC-T003, T004, T019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Block on silent mutation, stale commit, or approval bypass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THREAT-003, THREAT-005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SEC-005, SEC-006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SEC-T005–T011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Block on critical injection causing unauthorized action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THREAT-004, THREAT-012, THREAT-013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SEC-007, SEC-008, SEC-012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SEC-T008, T020, T021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Block on secret exposure or prohibited routing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THREAT-006, THREAT-015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SEC-011, SEC-014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SEC-T012, T023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Block on exploitable parser or uncontrolled resource exhaustion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THREAT-008, THREAT-009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SEC-005, SEC-004, SEC-012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SEC-T016, T017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Block on fabricated provenance treated as verified or branch contamination of Canon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THREAT-010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SEC-009, SEC-014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SEC-T018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Block on unbounded execution without stop control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THREAT-014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SEC-008, SEC-012 plus privacy deletion workflow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SEC-T022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Block on false claim of complete deletion</w:t>
            </w:r>
          </w:p>
        </w:tc>
      </w:tr>
    </w:tbl>
    <w:p>
      <w:pPr>
        <w:spacing w:after="20"/>
      </w:pPr>
    </w:p>
    <w:p>
      <w:pPr>
        <w:pStyle w:val="Heading1"/>
      </w:pPr>
      <w:r>
        <w:t>9. Security test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Test ID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Setup / attack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Expected result</w:t>
            </w:r>
          </w:p>
        </w:tc>
        <w:tc>
          <w:tcPr>
            <w:tcW w:type="dxa" w:w="2541"/>
            <w:vAlign w:val="center"/>
            <w:shd w:fill="D9EAF7"/>
          </w:tcPr>
          <w:p>
            <w:r/>
            <w:r>
              <w:rPr>
                <w:b/>
                <w:sz w:val="14"/>
              </w:rPr>
              <w:t>Severity if failed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SEC-T001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User A substitutes a project ID belonging to User B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Deny; no content in response; safe audit event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SEC-T002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Cross-project retrieval and cache-key collision attempt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No foreign chunks, snippets, metadata, or cached response exposed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SEC-T003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Submit AI candidate directly to Canon endpoint without required approval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Deny; Canon version unchanged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SEC-T004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Commit with stale expected version or forged approval reference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Reject; retain current Canon and return conflict state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SEC-T005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User prompt requests system prompt, secrets, or another project’s script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No protected data disclosed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SEC-T006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Upload/web source includes indirect prompt injection instructing tool use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Treat as untrusted content; no policy override/tool call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SEC-T007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Retrieval chunk attempts to override system instruction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Chunk remains evidence only; tool authorization unchanged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SEC-T008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Seed synthetic secret in environment and trigger model/error logging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Secret not returned or logged; alert if detected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SEC-T009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Model proposes unregistered tool or unknown argument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Reject before execution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SEC-T010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Tool attempts destination outside allowlist/internal metadata address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Block at tool/network boundary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SEC-T011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Revoked user’s queued task attempts sensitive tool action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Re-authorize and deny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SEC-T012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Oversized/corrupt/malicious document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Reject or isolate safely; no worker crash or arbitrary execution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SEC-T013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Expired/revoked session invokes project endpoint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Deny; require re-authentication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SEC-T014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Writer attempts restricted approval action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 unless explicit policy grant exists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SEC-T015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Privileged role grant attempted without approved workflow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 and audit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SEC-T016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Fabricated citation URL or mismatched source claim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Mark unverified/invalid; do not present as verified evidence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SEC-T017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Rejected branch content is injected into persistent canonical memory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Exclude from canonical context; preserve branch boundary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SEC-T018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Agent loops, provider retries, or tool calls exceed budget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Stop; return partial/failed state; no hidden continuation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SEC-T019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Duplicate request/retry races with concurrent Canon update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Exactly one valid commit; stale duplicate rejected or returns same result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SEC-T020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All approved providers unavailable for restricted data class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Fail closed; no unapproved fallback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SEC-T021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User attempts to read or alter restricted audit history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Deny; preserve audit integrity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SEC-T022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Delete project then inspect primary store, indexes, caches and export paths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Track each deletion outcome; no false complete status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SEC-T023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Burst requests and large retrieval tasks exceed configured quotas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Throttle/queue; preserve service and project isolation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High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SEC-T024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Export includes unauthorized branch or hidden/internal data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Exclude content or fail export; audit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4"/>
              </w:rPr>
              <w:t>Critical</w:t>
            </w:r>
          </w:p>
        </w:tc>
      </w:tr>
    </w:tbl>
    <w:p>
      <w:pPr>
        <w:spacing w:after="20"/>
      </w:pPr>
    </w:p>
    <w:p>
      <w:pPr>
        <w:pStyle w:val="Heading1"/>
      </w:pPr>
      <w:r>
        <w:t>10. Incident response and recovery</w:t>
      </w:r>
    </w:p>
    <w:p>
      <w:r>
        <w:t>On suspected compromise: (1) stop affected provider route/tool or disable the capability; (2) pause queued consequential writes; (3) preserve access-controlled run/audit evidence; (4) revoke or narrow credentials and sessions; (5) identify impacted organizations, projects, artifacts, exports, and providers; (6) verify Canon integrity and recover via audited domain commands; (7) follow approved communications/legal process; (8) add regression cases for the incident before re-enabling. Exact incident roles, notification obligations and response-time targets require Security/Legal approval; do not invent them.</w:t>
      </w:r>
    </w:p>
    <w:p>
      <w:pPr>
        <w:pStyle w:val="Heading1"/>
      </w:pPr>
      <w:r>
        <w:t>11. Release gates and prioritized backlog</w:t>
      </w:r>
    </w:p>
    <w:p>
      <w:r/>
      <w:r>
        <w:rPr>
          <w:b/>
        </w:rPr>
        <w:t>P0 — block relevant release until evidenced:</w:t>
      </w:r>
      <w:r>
        <w:t xml:space="preserve"> tenant/project isolation; server-side authorization; Canon approval/version integrity; injection/tool boundary; restricted-data provider routing; secrets protection; auditability of consequential actions; bounded AI execution; export authorization; backup/recovery validation for authoritative state.</w:t>
      </w:r>
    </w:p>
    <w:p>
      <w:r/>
      <w:r>
        <w:rPr>
          <w:b/>
        </w:rPr>
        <w:t>P1 — release requirement or documented risk acceptance:</w:t>
      </w:r>
      <w:r>
        <w:t xml:space="preserve"> privileged access review, file parser hardening, deletion propagation evidence, alerting and incident runbooks, abuse/rate controls, provider outage and retry tests.</w:t>
      </w:r>
    </w:p>
    <w:p>
      <w:r/>
      <w:r>
        <w:rPr>
          <w:b/>
        </w:rPr>
        <w:t>P2 — hardening:</w:t>
      </w:r>
      <w:r>
        <w:t xml:space="preserve"> automated policy drift detection, advanced anomaly detection, periodic attack simulation, more granular risk analytics.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4"/>
              </w:rPr>
              <w:t>Backlog ID</w:t>
            </w:r>
          </w:p>
        </w:tc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4"/>
              </w:rPr>
              <w:t>Priority</w:t>
            </w:r>
          </w:p>
        </w:tc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4"/>
              </w:rPr>
              <w:t>Work</w:t>
            </w:r>
          </w:p>
        </w:tc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4"/>
              </w:rPr>
              <w:t>Acceptance evidence</w:t>
            </w:r>
          </w:p>
        </w:tc>
        <w:tc>
          <w:tcPr>
            <w:tcW w:type="dxa" w:w="2033"/>
            <w:vAlign w:val="center"/>
            <w:shd w:fill="D9EAF7"/>
          </w:tcPr>
          <w:p>
            <w:r/>
            <w:r>
              <w:rPr>
                <w:b/>
                <w:sz w:val="14"/>
              </w:rPr>
              <w:t>Dependency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SEC-B01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Central policy enforcement and project-scope helpers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SEC-T001/2/14 pass; review shows all read/write paths covered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Identity/resource model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SEC-B02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Governed Canon command and concurrency protection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SEC-T003/4/19 pass; audit records version transition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Canon API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SEC-B03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Tool gateway, allowlist and egress policy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SEC-T006/9/10 pass; no arbitrary model-directed execution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Tool registry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SEC-B04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Provider/data-class policy gate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SEC-T020 pass; route decision is auditable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Provider contracts/classification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SEC-B05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Security audit event schema and restricted access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SEC-T008/21 pass; audit completeness sample approved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Logging platform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SEC-B06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P0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AI budgets and cancellation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SEC-T018 pass; stop behavior observable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Orchestrator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SEC-B07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Deletion orchestration across derived stores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SEC-T022 pass with per-store receipts and exceptions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Data inventory/provider terms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SEC-B08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Secure upload pipeline and configurable limits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SEC-T012 pass; limits approved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File processing design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SEC-B09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P1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Incident and rollback runbooks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Tabletop exercise and owners approved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  <w:sz w:val="14"/>
              </w:rPr>
              <w:t>Operations ownership</w:t>
            </w:r>
          </w:p>
        </w:tc>
      </w:tr>
    </w:tbl>
    <w:p>
      <w:pPr>
        <w:spacing w:after="20"/>
      </w:pPr>
    </w:p>
    <w:p>
      <w:pPr>
        <w:pStyle w:val="Heading1"/>
      </w:pPr>
      <w:r>
        <w:t>12. Open decisions resolved with safe defaults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4"/>
              </w:rPr>
              <w:t>Question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4"/>
              </w:rPr>
              <w:t>Recommended default now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b/>
                <w:sz w:val="14"/>
              </w:rPr>
              <w:t>Decision still required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Exact cloud/identity provider?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Keep interfaces provider-agnostic; enforce server-side policy independent of vendor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Platform architecture owner chooses vendor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Exact role grants?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Deny unspecified action; do not infer from job title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Producer/business owner approves action matrix with Security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Provider list and data terms?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Empty allowlist for restricted content until a provider is approved for that class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Security/Privacy/Legal verify contracts, retention, training use and residency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File limits?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Reject files until configurable limits and parser isolation are implemented; no arbitrary limits presented as approved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Engineering sets limits from testing and product needs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Retention and deletion SLA?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Do not promise duration; deletion workflow reports per-store state and exceptions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Privacy/Legal approves policy and timelines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Risk thresholds?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Critical leakage, authorization bypass, silent Canon mutation and prohibited routing are hard blockers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4"/>
              </w:rPr>
              <w:t>Security owner approves residual-risk acceptance process</w:t>
            </w:r>
          </w:p>
        </w:tc>
      </w:tr>
    </w:tbl>
    <w:p>
      <w:pPr>
        <w:spacing w:after="20"/>
      </w:pPr>
    </w:p>
    <w:p>
      <w:pPr>
        <w:pStyle w:val="Heading1"/>
      </w:pPr>
      <w:r>
        <w:t>13. References and limitations</w:t>
      </w:r>
    </w:p>
    <w:p>
      <w:r>
        <w:t>Aligned to the consolidated PRD (security, permissions, privacy, audit, failure/recovery, acceptance gates), System Architecture (trust boundaries, Model Gateway, Context Resolver, Canon service, tool registry, async workers), AI Guardrails and Human-in-the-Loop specifications, Experience interaction contracts, and Requirements Traceability. No penetration-test results, deployed control evidence, cloud configuration, incident metrics, or security certification were supplied. All tests in this document are proposed until executed and recorded.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 xml:space="preserve">Tattava Copilot • Security &amp; Privacy •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Model</dc:title>
  <dc:subject>Tattava Copilot Security and Privacy Specification</dc:subject>
  <dc:creator>Tattava Copilot Product &amp; Engineering</dc:creator>
  <cp:keywords>Tattava, security, privacy, AI risk, access control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