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Dashboard Specification &amp; Serving Data Contracts</w:t>
      </w:r>
    </w:p>
    <w:p>
      <w:r>
        <w:rPr>
          <w:b/>
        </w:rPr>
        <w:t>Document ID:</w:t>
      </w:r>
      <w:r>
        <w:t xml:space="preserve"> ANA-DSH-001  </w:t>
      </w:r>
    </w:p>
    <w:p>
      <w:r>
        <w:rPr>
          <w:b/>
        </w:rPr>
        <w:t>Version:</w:t>
      </w:r>
      <w:r>
        <w:t xml:space="preserve"> 1.0  </w:t>
      </w:r>
    </w:p>
    <w:p>
      <w:r>
        <w:rPr>
          <w:b/>
        </w:rPr>
        <w:t>Status:</w:t>
      </w:r>
      <w:r>
        <w:t xml:space="preserve"> Proposed dashboard contract; implementation and SLAs not yet evidenced  </w:t>
      </w:r>
    </w:p>
    <w:p>
      <w:r>
        <w:rPr>
          <w:b/>
        </w:rPr>
        <w:t>Scope:</w:t>
      </w:r>
      <w:r>
        <w:t xml:space="preserve"> Product outcome analytics, workflow funnel, AI observability, quality/evaluation, data quality and restricted security monitoring</w:t>
      </w:r>
    </w:p>
    <w:p>
      <w:pPr>
        <w:pStyle w:val="Heading1"/>
      </w:pPr>
      <w:r>
        <w:t>1. Purpose and guardrails</w:t>
      </w:r>
    </w:p>
    <w:p>
      <w:r>
        <w:t>Dashboards should support decisions about project progress, development speed, quality, reuse, AI reliability and data integrity. They must not encourage optimization for generation volume, token consumption, agent count or prompt count. Show speed and quality together, expose denominators and missingness, and keep critical safety events as non-compensatory gates.</w:t>
      </w:r>
    </w:p>
    <w:p>
      <w:r>
        <w:t xml:space="preserve">Tattava's V1 operational outcome is a </w:t>
      </w:r>
      <w:r>
        <w:rPr>
          <w:b/>
        </w:rPr>
        <w:t>Human-Approved Story Development Package</w:t>
      </w:r>
      <w:r>
        <w:t>. It is not a claim of readiness for physical production. The North Star is time from accepted project input to an approved package version meeting agreed completeness criteria.</w:t>
      </w:r>
    </w:p>
    <w:p>
      <w:pPr>
        <w:pStyle w:val="Heading1"/>
      </w:pPr>
      <w:r>
        <w:t>2. Dashboard catalogue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ID</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Dashboard</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Audience</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Main decisions</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Refresh (proposed)</w:t>
            </w:r>
          </w:p>
        </w:tc>
        <w:tc>
          <w:tcPr>
            <w:tcW w:type="dxa" w:w="1704"/>
            <w:vAlign w:val="center"/>
            <w:tcMar>
              <w:top w:w="80" w:type="dxa"/>
              <w:start w:w="90" w:type="dxa"/>
              <w:bottom w:w="80" w:type="dxa"/>
              <w:end w:w="90" w:type="dxa"/>
            </w:tcMar>
            <w:shd w:fill="E9EEF5"/>
          </w:tcPr>
          <w:p>
            <w:pPr>
              <w:spacing w:after="0"/>
            </w:pPr>
            <w:r>
              <w:rPr>
                <w:b/>
                <w:color w:val="17365D"/>
                <w:sz w:val="14"/>
              </w:rPr>
            </w:r>
            <w:r>
              <w:rPr>
                <w:b/>
                <w:color w:val="17365D"/>
                <w:sz w:val="14"/>
              </w:rPr>
              <w:t>Access</w:t>
            </w:r>
          </w:p>
        </w:tc>
      </w:tr>
      <w:tr>
        <w:tc>
          <w:tcPr>
            <w:tcW w:type="dxa" w:w="1704"/>
            <w:vAlign w:val="center"/>
            <w:tcMar>
              <w:top w:w="80" w:type="dxa"/>
              <w:start w:w="90" w:type="dxa"/>
              <w:bottom w:w="80" w:type="dxa"/>
              <w:end w:w="90" w:type="dxa"/>
            </w:tcMar>
          </w:tcPr>
          <w:p>
            <w:pPr>
              <w:spacing w:after="0"/>
            </w:pPr>
            <w:r>
              <w:rPr>
                <w:sz w:val="14"/>
              </w:rPr>
            </w:r>
            <w:r>
              <w:rPr>
                <w:sz w:val="14"/>
              </w:rPr>
              <w:t>DSH-001</w:t>
            </w:r>
          </w:p>
        </w:tc>
        <w:tc>
          <w:tcPr>
            <w:tcW w:type="dxa" w:w="1704"/>
            <w:vAlign w:val="center"/>
            <w:tcMar>
              <w:top w:w="80" w:type="dxa"/>
              <w:start w:w="90" w:type="dxa"/>
              <w:bottom w:w="80" w:type="dxa"/>
              <w:end w:w="90" w:type="dxa"/>
            </w:tcMar>
          </w:tcPr>
          <w:p>
            <w:pPr>
              <w:spacing w:after="0"/>
            </w:pPr>
            <w:r>
              <w:rPr>
                <w:sz w:val="14"/>
              </w:rPr>
            </w:r>
            <w:r>
              <w:rPr>
                <w:sz w:val="14"/>
              </w:rPr>
              <w:t>Product Outcome &amp; North Star</w:t>
            </w:r>
          </w:p>
        </w:tc>
        <w:tc>
          <w:tcPr>
            <w:tcW w:type="dxa" w:w="1704"/>
            <w:vAlign w:val="center"/>
            <w:tcMar>
              <w:top w:w="80" w:type="dxa"/>
              <w:start w:w="90" w:type="dxa"/>
              <w:bottom w:w="80" w:type="dxa"/>
              <w:end w:w="90" w:type="dxa"/>
            </w:tcMar>
          </w:tcPr>
          <w:p>
            <w:pPr>
              <w:spacing w:after="0"/>
            </w:pPr>
            <w:r>
              <w:rPr>
                <w:sz w:val="14"/>
              </w:rPr>
            </w:r>
            <w:r>
              <w:rPr>
                <w:sz w:val="14"/>
              </w:rPr>
              <w:t>Product, leadership, approved project portfolio stakeholders</w:t>
            </w:r>
          </w:p>
        </w:tc>
        <w:tc>
          <w:tcPr>
            <w:tcW w:type="dxa" w:w="1704"/>
            <w:vAlign w:val="center"/>
            <w:tcMar>
              <w:top w:w="80" w:type="dxa"/>
              <w:start w:w="90" w:type="dxa"/>
              <w:bottom w:w="80" w:type="dxa"/>
              <w:end w:w="90" w:type="dxa"/>
            </w:tcMar>
          </w:tcPr>
          <w:p>
            <w:pPr>
              <w:spacing w:after="0"/>
            </w:pPr>
            <w:r>
              <w:rPr>
                <w:sz w:val="14"/>
              </w:rPr>
            </w:r>
            <w:r>
              <w:rPr>
                <w:sz w:val="14"/>
              </w:rPr>
              <w:t>Is time-to-approved-package improving without quality degradation?</w:t>
            </w:r>
          </w:p>
        </w:tc>
        <w:tc>
          <w:tcPr>
            <w:tcW w:type="dxa" w:w="1704"/>
            <w:vAlign w:val="center"/>
            <w:tcMar>
              <w:top w:w="80" w:type="dxa"/>
              <w:start w:w="90" w:type="dxa"/>
              <w:bottom w:w="80" w:type="dxa"/>
              <w:end w:w="90" w:type="dxa"/>
            </w:tcMar>
          </w:tcPr>
          <w:p>
            <w:pPr>
              <w:spacing w:after="0"/>
            </w:pPr>
            <w:r>
              <w:rPr>
                <w:sz w:val="14"/>
              </w:rPr>
            </w:r>
            <w:r>
              <w:rPr>
                <w:sz w:val="14"/>
              </w:rPr>
              <w:t>Daily aggregate; cohort windows selectable</w:t>
            </w:r>
          </w:p>
        </w:tc>
        <w:tc>
          <w:tcPr>
            <w:tcW w:type="dxa" w:w="1704"/>
            <w:vAlign w:val="center"/>
            <w:tcMar>
              <w:top w:w="80" w:type="dxa"/>
              <w:start w:w="90" w:type="dxa"/>
              <w:bottom w:w="80" w:type="dxa"/>
              <w:end w:w="90" w:type="dxa"/>
            </w:tcMar>
          </w:tcPr>
          <w:p>
            <w:pPr>
              <w:spacing w:after="0"/>
            </w:pPr>
            <w:r>
              <w:rPr>
                <w:sz w:val="14"/>
              </w:rPr>
            </w:r>
            <w:r>
              <w:rPr>
                <w:sz w:val="14"/>
              </w:rPr>
              <w:t>Organization-scoped aggregate; project drilldown permissioned</w:t>
            </w:r>
          </w:p>
        </w:tc>
      </w:tr>
      <w:tr>
        <w:tc>
          <w:tcPr>
            <w:tcW w:type="dxa" w:w="1704"/>
            <w:vAlign w:val="center"/>
            <w:tcMar>
              <w:top w:w="80" w:type="dxa"/>
              <w:start w:w="90" w:type="dxa"/>
              <w:bottom w:w="80" w:type="dxa"/>
              <w:end w:w="90" w:type="dxa"/>
            </w:tcMar>
          </w:tcPr>
          <w:p>
            <w:pPr>
              <w:spacing w:after="0"/>
            </w:pPr>
            <w:r>
              <w:rPr>
                <w:sz w:val="14"/>
              </w:rPr>
            </w:r>
            <w:r>
              <w:rPr>
                <w:sz w:val="14"/>
              </w:rPr>
              <w:t>DSH-002</w:t>
            </w:r>
          </w:p>
        </w:tc>
        <w:tc>
          <w:tcPr>
            <w:tcW w:type="dxa" w:w="1704"/>
            <w:vAlign w:val="center"/>
            <w:tcMar>
              <w:top w:w="80" w:type="dxa"/>
              <w:start w:w="90" w:type="dxa"/>
              <w:bottom w:w="80" w:type="dxa"/>
              <w:end w:w="90" w:type="dxa"/>
            </w:tcMar>
          </w:tcPr>
          <w:p>
            <w:pPr>
              <w:spacing w:after="0"/>
            </w:pPr>
            <w:r>
              <w:rPr>
                <w:sz w:val="14"/>
              </w:rPr>
            </w:r>
            <w:r>
              <w:rPr>
                <w:sz w:val="14"/>
              </w:rPr>
              <w:t>Project Workflow Funnel</w:t>
            </w:r>
          </w:p>
        </w:tc>
        <w:tc>
          <w:tcPr>
            <w:tcW w:type="dxa" w:w="1704"/>
            <w:vAlign w:val="center"/>
            <w:tcMar>
              <w:top w:w="80" w:type="dxa"/>
              <w:start w:w="90" w:type="dxa"/>
              <w:bottom w:w="80" w:type="dxa"/>
              <w:end w:w="90" w:type="dxa"/>
            </w:tcMar>
          </w:tcPr>
          <w:p>
            <w:pPr>
              <w:spacing w:after="0"/>
            </w:pPr>
            <w:r>
              <w:rPr>
                <w:sz w:val="14"/>
              </w:rPr>
            </w:r>
            <w:r>
              <w:rPr>
                <w:sz w:val="14"/>
              </w:rPr>
              <w:t>Product, Content Head, Creative Director, Producer according to grants</w:t>
            </w:r>
          </w:p>
        </w:tc>
        <w:tc>
          <w:tcPr>
            <w:tcW w:type="dxa" w:w="1704"/>
            <w:vAlign w:val="center"/>
            <w:tcMar>
              <w:top w:w="80" w:type="dxa"/>
              <w:start w:w="90" w:type="dxa"/>
              <w:bottom w:w="80" w:type="dxa"/>
              <w:end w:w="90" w:type="dxa"/>
            </w:tcMar>
          </w:tcPr>
          <w:p>
            <w:pPr>
              <w:spacing w:after="0"/>
            </w:pPr>
            <w:r>
              <w:rPr>
                <w:sz w:val="14"/>
              </w:rPr>
            </w:r>
            <w:r>
              <w:rPr>
                <w:sz w:val="14"/>
              </w:rPr>
              <w:t>Where do projects stall or repeat work?</w:t>
            </w:r>
          </w:p>
        </w:tc>
        <w:tc>
          <w:tcPr>
            <w:tcW w:type="dxa" w:w="1704"/>
            <w:vAlign w:val="center"/>
            <w:tcMar>
              <w:top w:w="80" w:type="dxa"/>
              <w:start w:w="90" w:type="dxa"/>
              <w:bottom w:w="80" w:type="dxa"/>
              <w:end w:w="90" w:type="dxa"/>
            </w:tcMar>
          </w:tcPr>
          <w:p>
            <w:pPr>
              <w:spacing w:after="0"/>
            </w:pPr>
            <w:r>
              <w:rPr>
                <w:sz w:val="14"/>
              </w:rPr>
            </w:r>
            <w:r>
              <w:rPr>
                <w:sz w:val="14"/>
              </w:rPr>
              <w:t>Daily; operational stages may be fresher</w:t>
            </w:r>
          </w:p>
        </w:tc>
        <w:tc>
          <w:tcPr>
            <w:tcW w:type="dxa" w:w="1704"/>
            <w:vAlign w:val="center"/>
            <w:tcMar>
              <w:top w:w="80" w:type="dxa"/>
              <w:start w:w="90" w:type="dxa"/>
              <w:bottom w:w="80" w:type="dxa"/>
              <w:end w:w="90" w:type="dxa"/>
            </w:tcMar>
          </w:tcPr>
          <w:p>
            <w:pPr>
              <w:spacing w:after="0"/>
            </w:pPr>
            <w:r>
              <w:rPr>
                <w:sz w:val="14"/>
              </w:rPr>
            </w:r>
            <w:r>
              <w:rPr>
                <w:sz w:val="14"/>
              </w:rPr>
              <w:t>Project scope and action-level authorization</w:t>
            </w:r>
          </w:p>
        </w:tc>
      </w:tr>
      <w:tr>
        <w:tc>
          <w:tcPr>
            <w:tcW w:type="dxa" w:w="1704"/>
            <w:vAlign w:val="center"/>
            <w:tcMar>
              <w:top w:w="80" w:type="dxa"/>
              <w:start w:w="90" w:type="dxa"/>
              <w:bottom w:w="80" w:type="dxa"/>
              <w:end w:w="90" w:type="dxa"/>
            </w:tcMar>
          </w:tcPr>
          <w:p>
            <w:pPr>
              <w:spacing w:after="0"/>
            </w:pPr>
            <w:r>
              <w:rPr>
                <w:sz w:val="14"/>
              </w:rPr>
            </w:r>
            <w:r>
              <w:rPr>
                <w:sz w:val="14"/>
              </w:rPr>
              <w:t>DSH-003</w:t>
            </w:r>
          </w:p>
        </w:tc>
        <w:tc>
          <w:tcPr>
            <w:tcW w:type="dxa" w:w="1704"/>
            <w:vAlign w:val="center"/>
            <w:tcMar>
              <w:top w:w="80" w:type="dxa"/>
              <w:start w:w="90" w:type="dxa"/>
              <w:bottom w:w="80" w:type="dxa"/>
              <w:end w:w="90" w:type="dxa"/>
            </w:tcMar>
          </w:tcPr>
          <w:p>
            <w:pPr>
              <w:spacing w:after="0"/>
            </w:pPr>
            <w:r>
              <w:rPr>
                <w:sz w:val="14"/>
              </w:rPr>
            </w:r>
            <w:r>
              <w:rPr>
                <w:sz w:val="14"/>
              </w:rPr>
              <w:t>AI Run Health</w:t>
            </w:r>
          </w:p>
        </w:tc>
        <w:tc>
          <w:tcPr>
            <w:tcW w:type="dxa" w:w="1704"/>
            <w:vAlign w:val="center"/>
            <w:tcMar>
              <w:top w:w="80" w:type="dxa"/>
              <w:start w:w="90" w:type="dxa"/>
              <w:bottom w:w="80" w:type="dxa"/>
              <w:end w:w="90" w:type="dxa"/>
            </w:tcMar>
          </w:tcPr>
          <w:p>
            <w:pPr>
              <w:spacing w:after="0"/>
            </w:pPr>
            <w:r>
              <w:rPr>
                <w:sz w:val="14"/>
              </w:rPr>
            </w:r>
            <w:r>
              <w:rPr>
                <w:sz w:val="14"/>
              </w:rPr>
              <w:t>AI/Engineering</w:t>
            </w:r>
          </w:p>
        </w:tc>
        <w:tc>
          <w:tcPr>
            <w:tcW w:type="dxa" w:w="1704"/>
            <w:vAlign w:val="center"/>
            <w:tcMar>
              <w:top w:w="80" w:type="dxa"/>
              <w:start w:w="90" w:type="dxa"/>
              <w:bottom w:w="80" w:type="dxa"/>
              <w:end w:w="90" w:type="dxa"/>
            </w:tcMar>
          </w:tcPr>
          <w:p>
            <w:pPr>
              <w:spacing w:after="0"/>
            </w:pPr>
            <w:r>
              <w:rPr>
                <w:sz w:val="14"/>
              </w:rPr>
            </w:r>
            <w:r>
              <w:rPr>
                <w:sz w:val="14"/>
              </w:rPr>
              <w:t>Are runs completing, recovering, and meeting operational expectations?</w:t>
            </w:r>
          </w:p>
        </w:tc>
        <w:tc>
          <w:tcPr>
            <w:tcW w:type="dxa" w:w="1704"/>
            <w:vAlign w:val="center"/>
            <w:tcMar>
              <w:top w:w="80" w:type="dxa"/>
              <w:start w:w="90" w:type="dxa"/>
              <w:bottom w:w="80" w:type="dxa"/>
              <w:end w:w="90" w:type="dxa"/>
            </w:tcMar>
          </w:tcPr>
          <w:p>
            <w:pPr>
              <w:spacing w:after="0"/>
            </w:pPr>
            <w:r>
              <w:rPr>
                <w:sz w:val="14"/>
              </w:rPr>
            </w:r>
            <w:r>
              <w:rPr>
                <w:sz w:val="14"/>
              </w:rPr>
              <w:t>Proposed 5–15 min</w:t>
            </w:r>
          </w:p>
        </w:tc>
        <w:tc>
          <w:tcPr>
            <w:tcW w:type="dxa" w:w="1704"/>
            <w:vAlign w:val="center"/>
            <w:tcMar>
              <w:top w:w="80" w:type="dxa"/>
              <w:start w:w="90" w:type="dxa"/>
              <w:bottom w:w="80" w:type="dxa"/>
              <w:end w:w="90" w:type="dxa"/>
            </w:tcMar>
          </w:tcPr>
          <w:p>
            <w:pPr>
              <w:spacing w:after="0"/>
            </w:pPr>
            <w:r>
              <w:rPr>
                <w:sz w:val="14"/>
              </w:rPr>
            </w:r>
            <w:r>
              <w:rPr>
                <w:sz w:val="14"/>
              </w:rPr>
              <w:t>Engineering operational role; no raw content</w:t>
            </w:r>
          </w:p>
        </w:tc>
      </w:tr>
      <w:tr>
        <w:tc>
          <w:tcPr>
            <w:tcW w:type="dxa" w:w="1704"/>
            <w:vAlign w:val="center"/>
            <w:tcMar>
              <w:top w:w="80" w:type="dxa"/>
              <w:start w:w="90" w:type="dxa"/>
              <w:bottom w:w="80" w:type="dxa"/>
              <w:end w:w="90" w:type="dxa"/>
            </w:tcMar>
          </w:tcPr>
          <w:p>
            <w:pPr>
              <w:spacing w:after="0"/>
            </w:pPr>
            <w:r>
              <w:rPr>
                <w:sz w:val="14"/>
              </w:rPr>
            </w:r>
            <w:r>
              <w:rPr>
                <w:sz w:val="14"/>
              </w:rPr>
              <w:t>DSH-004</w:t>
            </w:r>
          </w:p>
        </w:tc>
        <w:tc>
          <w:tcPr>
            <w:tcW w:type="dxa" w:w="1704"/>
            <w:vAlign w:val="center"/>
            <w:tcMar>
              <w:top w:w="80" w:type="dxa"/>
              <w:start w:w="90" w:type="dxa"/>
              <w:bottom w:w="80" w:type="dxa"/>
              <w:end w:w="90" w:type="dxa"/>
            </w:tcMar>
          </w:tcPr>
          <w:p>
            <w:pPr>
              <w:spacing w:after="0"/>
            </w:pPr>
            <w:r>
              <w:rPr>
                <w:sz w:val="14"/>
              </w:rPr>
            </w:r>
            <w:r>
              <w:rPr>
                <w:sz w:val="14"/>
              </w:rPr>
              <w:t>AI Quality &amp; Evaluation</w:t>
            </w:r>
          </w:p>
        </w:tc>
        <w:tc>
          <w:tcPr>
            <w:tcW w:type="dxa" w:w="1704"/>
            <w:vAlign w:val="center"/>
            <w:tcMar>
              <w:top w:w="80" w:type="dxa"/>
              <w:start w:w="90" w:type="dxa"/>
              <w:bottom w:w="80" w:type="dxa"/>
              <w:end w:w="90" w:type="dxa"/>
            </w:tcMar>
          </w:tcPr>
          <w:p>
            <w:pPr>
              <w:spacing w:after="0"/>
            </w:pPr>
            <w:r>
              <w:rPr>
                <w:sz w:val="14"/>
              </w:rPr>
            </w:r>
            <w:r>
              <w:rPr>
                <w:sz w:val="14"/>
              </w:rPr>
              <w:t>AI, QA, Creative/Content reviewers</w:t>
            </w:r>
          </w:p>
        </w:tc>
        <w:tc>
          <w:tcPr>
            <w:tcW w:type="dxa" w:w="1704"/>
            <w:vAlign w:val="center"/>
            <w:tcMar>
              <w:top w:w="80" w:type="dxa"/>
              <w:start w:w="90" w:type="dxa"/>
              <w:bottom w:w="80" w:type="dxa"/>
              <w:end w:w="90" w:type="dxa"/>
            </w:tcMar>
          </w:tcPr>
          <w:p>
            <w:pPr>
              <w:spacing w:after="0"/>
            </w:pPr>
            <w:r>
              <w:rPr>
                <w:sz w:val="14"/>
              </w:rPr>
            </w:r>
            <w:r>
              <w:rPr>
                <w:sz w:val="14"/>
              </w:rPr>
              <w:t>Did a model/prompt/retrieval change regress groundedness, continuity or creative usefulness?</w:t>
            </w:r>
          </w:p>
        </w:tc>
        <w:tc>
          <w:tcPr>
            <w:tcW w:type="dxa" w:w="1704"/>
            <w:vAlign w:val="center"/>
            <w:tcMar>
              <w:top w:w="80" w:type="dxa"/>
              <w:start w:w="90" w:type="dxa"/>
              <w:bottom w:w="80" w:type="dxa"/>
              <w:end w:w="90" w:type="dxa"/>
            </w:tcMar>
          </w:tcPr>
          <w:p>
            <w:pPr>
              <w:spacing w:after="0"/>
            </w:pPr>
            <w:r>
              <w:rPr>
                <w:sz w:val="14"/>
              </w:rPr>
            </w:r>
            <w:r>
              <w:rPr>
                <w:sz w:val="14"/>
              </w:rPr>
              <w:t>Per evaluation run; production aggregates daily</w:t>
            </w:r>
          </w:p>
        </w:tc>
        <w:tc>
          <w:tcPr>
            <w:tcW w:type="dxa" w:w="1704"/>
            <w:vAlign w:val="center"/>
            <w:tcMar>
              <w:top w:w="80" w:type="dxa"/>
              <w:start w:w="90" w:type="dxa"/>
              <w:bottom w:w="80" w:type="dxa"/>
              <w:end w:w="90" w:type="dxa"/>
            </w:tcMar>
          </w:tcPr>
          <w:p>
            <w:pPr>
              <w:spacing w:after="0"/>
            </w:pPr>
            <w:r>
              <w:rPr>
                <w:sz w:val="14"/>
              </w:rPr>
            </w:r>
            <w:r>
              <w:rPr>
                <w:sz w:val="14"/>
              </w:rPr>
              <w:t>Role-based; restricted output refs</w:t>
            </w:r>
          </w:p>
        </w:tc>
      </w:tr>
      <w:tr>
        <w:tc>
          <w:tcPr>
            <w:tcW w:type="dxa" w:w="1704"/>
            <w:vAlign w:val="center"/>
            <w:tcMar>
              <w:top w:w="80" w:type="dxa"/>
              <w:start w:w="90" w:type="dxa"/>
              <w:bottom w:w="80" w:type="dxa"/>
              <w:end w:w="90" w:type="dxa"/>
            </w:tcMar>
          </w:tcPr>
          <w:p>
            <w:pPr>
              <w:spacing w:after="0"/>
            </w:pPr>
            <w:r>
              <w:rPr>
                <w:sz w:val="14"/>
              </w:rPr>
            </w:r>
            <w:r>
              <w:rPr>
                <w:sz w:val="14"/>
              </w:rPr>
              <w:t>DSH-005</w:t>
            </w:r>
          </w:p>
        </w:tc>
        <w:tc>
          <w:tcPr>
            <w:tcW w:type="dxa" w:w="1704"/>
            <w:vAlign w:val="center"/>
            <w:tcMar>
              <w:top w:w="80" w:type="dxa"/>
              <w:start w:w="90" w:type="dxa"/>
              <w:bottom w:w="80" w:type="dxa"/>
              <w:end w:w="90" w:type="dxa"/>
            </w:tcMar>
          </w:tcPr>
          <w:p>
            <w:pPr>
              <w:spacing w:after="0"/>
            </w:pPr>
            <w:r>
              <w:rPr>
                <w:sz w:val="14"/>
              </w:rPr>
            </w:r>
            <w:r>
              <w:rPr>
                <w:sz w:val="14"/>
              </w:rPr>
              <w:t>Cost &amp; Unit Economics</w:t>
            </w:r>
          </w:p>
        </w:tc>
        <w:tc>
          <w:tcPr>
            <w:tcW w:type="dxa" w:w="1704"/>
            <w:vAlign w:val="center"/>
            <w:tcMar>
              <w:top w:w="80" w:type="dxa"/>
              <w:start w:w="90" w:type="dxa"/>
              <w:bottom w:w="80" w:type="dxa"/>
              <w:end w:w="90" w:type="dxa"/>
            </w:tcMar>
          </w:tcPr>
          <w:p>
            <w:pPr>
              <w:spacing w:after="0"/>
            </w:pPr>
            <w:r>
              <w:rPr>
                <w:sz w:val="14"/>
              </w:rPr>
            </w:r>
            <w:r>
              <w:rPr>
                <w:sz w:val="14"/>
              </w:rPr>
              <w:t>Engineering, Finance, Product leadership</w:t>
            </w:r>
          </w:p>
        </w:tc>
        <w:tc>
          <w:tcPr>
            <w:tcW w:type="dxa" w:w="1704"/>
            <w:vAlign w:val="center"/>
            <w:tcMar>
              <w:top w:w="80" w:type="dxa"/>
              <w:start w:w="90" w:type="dxa"/>
              <w:bottom w:w="80" w:type="dxa"/>
              <w:end w:w="90" w:type="dxa"/>
            </w:tcMar>
          </w:tcPr>
          <w:p>
            <w:pPr>
              <w:spacing w:after="0"/>
            </w:pPr>
            <w:r>
              <w:rPr>
                <w:sz w:val="14"/>
              </w:rPr>
            </w:r>
            <w:r>
              <w:rPr>
                <w:sz w:val="14"/>
              </w:rPr>
              <w:t>What does a run/project/approved package cost and how complete is attribution?</w:t>
            </w:r>
          </w:p>
        </w:tc>
        <w:tc>
          <w:tcPr>
            <w:tcW w:type="dxa" w:w="1704"/>
            <w:vAlign w:val="center"/>
            <w:tcMar>
              <w:top w:w="80" w:type="dxa"/>
              <w:start w:w="90" w:type="dxa"/>
              <w:bottom w:w="80" w:type="dxa"/>
              <w:end w:w="90" w:type="dxa"/>
            </w:tcMar>
          </w:tcPr>
          <w:p>
            <w:pPr>
              <w:spacing w:after="0"/>
            </w:pPr>
            <w:r>
              <w:rPr>
                <w:sz w:val="14"/>
              </w:rPr>
            </w:r>
            <w:r>
              <w:rPr>
                <w:sz w:val="14"/>
              </w:rPr>
              <w:t>Daily provisional; monthly reviewed</w:t>
            </w:r>
          </w:p>
        </w:tc>
        <w:tc>
          <w:tcPr>
            <w:tcW w:type="dxa" w:w="1704"/>
            <w:vAlign w:val="center"/>
            <w:tcMar>
              <w:top w:w="80" w:type="dxa"/>
              <w:start w:w="90" w:type="dxa"/>
              <w:bottom w:w="80" w:type="dxa"/>
              <w:end w:w="90" w:type="dxa"/>
            </w:tcMar>
          </w:tcPr>
          <w:p>
            <w:pPr>
              <w:spacing w:after="0"/>
            </w:pPr>
            <w:r>
              <w:rPr>
                <w:sz w:val="14"/>
              </w:rPr>
            </w:r>
            <w:r>
              <w:rPr>
                <w:sz w:val="14"/>
              </w:rPr>
              <w:t>Finance and authorized product/engineering</w:t>
            </w:r>
          </w:p>
        </w:tc>
      </w:tr>
      <w:tr>
        <w:tc>
          <w:tcPr>
            <w:tcW w:type="dxa" w:w="1704"/>
            <w:vAlign w:val="center"/>
            <w:tcMar>
              <w:top w:w="80" w:type="dxa"/>
              <w:start w:w="90" w:type="dxa"/>
              <w:bottom w:w="80" w:type="dxa"/>
              <w:end w:w="90" w:type="dxa"/>
            </w:tcMar>
          </w:tcPr>
          <w:p>
            <w:pPr>
              <w:spacing w:after="0"/>
            </w:pPr>
            <w:r>
              <w:rPr>
                <w:sz w:val="14"/>
              </w:rPr>
            </w:r>
            <w:r>
              <w:rPr>
                <w:sz w:val="14"/>
              </w:rPr>
              <w:t>DSH-006</w:t>
            </w:r>
          </w:p>
        </w:tc>
        <w:tc>
          <w:tcPr>
            <w:tcW w:type="dxa" w:w="1704"/>
            <w:vAlign w:val="center"/>
            <w:tcMar>
              <w:top w:w="80" w:type="dxa"/>
              <w:start w:w="90" w:type="dxa"/>
              <w:bottom w:w="80" w:type="dxa"/>
              <w:end w:w="90" w:type="dxa"/>
            </w:tcMar>
          </w:tcPr>
          <w:p>
            <w:pPr>
              <w:spacing w:after="0"/>
            </w:pPr>
            <w:r>
              <w:rPr>
                <w:sz w:val="14"/>
              </w:rPr>
            </w:r>
            <w:r>
              <w:rPr>
                <w:sz w:val="14"/>
              </w:rPr>
              <w:t>Data Quality &amp; Pipeline Reliability</w:t>
            </w:r>
          </w:p>
        </w:tc>
        <w:tc>
          <w:tcPr>
            <w:tcW w:type="dxa" w:w="1704"/>
            <w:vAlign w:val="center"/>
            <w:tcMar>
              <w:top w:w="80" w:type="dxa"/>
              <w:start w:w="90" w:type="dxa"/>
              <w:bottom w:w="80" w:type="dxa"/>
              <w:end w:w="90" w:type="dxa"/>
            </w:tcMar>
          </w:tcPr>
          <w:p>
            <w:pPr>
              <w:spacing w:after="0"/>
            </w:pPr>
            <w:r>
              <w:rPr>
                <w:sz w:val="14"/>
              </w:rPr>
            </w:r>
            <w:r>
              <w:rPr>
                <w:sz w:val="14"/>
              </w:rPr>
              <w:t>Data Engineering, platform owner</w:t>
            </w:r>
          </w:p>
        </w:tc>
        <w:tc>
          <w:tcPr>
            <w:tcW w:type="dxa" w:w="1704"/>
            <w:vAlign w:val="center"/>
            <w:tcMar>
              <w:top w:w="80" w:type="dxa"/>
              <w:start w:w="90" w:type="dxa"/>
              <w:bottom w:w="80" w:type="dxa"/>
              <w:end w:w="90" w:type="dxa"/>
            </w:tcMar>
          </w:tcPr>
          <w:p>
            <w:pPr>
              <w:spacing w:after="0"/>
            </w:pPr>
            <w:r>
              <w:rPr>
                <w:sz w:val="14"/>
              </w:rPr>
            </w:r>
            <w:r>
              <w:rPr>
                <w:sz w:val="14"/>
              </w:rPr>
              <w:t>Are events fresh, valid, complete and reproducible?</w:t>
            </w:r>
          </w:p>
        </w:tc>
        <w:tc>
          <w:tcPr>
            <w:tcW w:type="dxa" w:w="1704"/>
            <w:vAlign w:val="center"/>
            <w:tcMar>
              <w:top w:w="80" w:type="dxa"/>
              <w:start w:w="90" w:type="dxa"/>
              <w:bottom w:w="80" w:type="dxa"/>
              <w:end w:w="90" w:type="dxa"/>
            </w:tcMar>
          </w:tcPr>
          <w:p>
            <w:pPr>
              <w:spacing w:after="0"/>
            </w:pPr>
            <w:r>
              <w:rPr>
                <w:sz w:val="14"/>
              </w:rPr>
            </w:r>
            <w:r>
              <w:rPr>
                <w:sz w:val="14"/>
              </w:rPr>
              <w:t>Operational near-real-time where supported</w:t>
            </w:r>
          </w:p>
        </w:tc>
        <w:tc>
          <w:tcPr>
            <w:tcW w:type="dxa" w:w="1704"/>
            <w:vAlign w:val="center"/>
            <w:tcMar>
              <w:top w:w="80" w:type="dxa"/>
              <w:start w:w="90" w:type="dxa"/>
              <w:bottom w:w="80" w:type="dxa"/>
              <w:end w:w="90" w:type="dxa"/>
            </w:tcMar>
          </w:tcPr>
          <w:p>
            <w:pPr>
              <w:spacing w:after="0"/>
            </w:pPr>
            <w:r>
              <w:rPr>
                <w:sz w:val="14"/>
              </w:rPr>
            </w:r>
            <w:r>
              <w:rPr>
                <w:sz w:val="14"/>
              </w:rPr>
              <w:t>Data/platform operations</w:t>
            </w:r>
          </w:p>
        </w:tc>
      </w:tr>
      <w:tr>
        <w:tc>
          <w:tcPr>
            <w:tcW w:type="dxa" w:w="1704"/>
            <w:vAlign w:val="center"/>
            <w:tcMar>
              <w:top w:w="80" w:type="dxa"/>
              <w:start w:w="90" w:type="dxa"/>
              <w:bottom w:w="80" w:type="dxa"/>
              <w:end w:w="90" w:type="dxa"/>
            </w:tcMar>
          </w:tcPr>
          <w:p>
            <w:pPr>
              <w:spacing w:after="0"/>
            </w:pPr>
            <w:r>
              <w:rPr>
                <w:sz w:val="14"/>
              </w:rPr>
            </w:r>
            <w:r>
              <w:rPr>
                <w:sz w:val="14"/>
              </w:rPr>
              <w:t>DSH-007</w:t>
            </w:r>
          </w:p>
        </w:tc>
        <w:tc>
          <w:tcPr>
            <w:tcW w:type="dxa" w:w="1704"/>
            <w:vAlign w:val="center"/>
            <w:tcMar>
              <w:top w:w="80" w:type="dxa"/>
              <w:start w:w="90" w:type="dxa"/>
              <w:bottom w:w="80" w:type="dxa"/>
              <w:end w:w="90" w:type="dxa"/>
            </w:tcMar>
          </w:tcPr>
          <w:p>
            <w:pPr>
              <w:spacing w:after="0"/>
            </w:pPr>
            <w:r>
              <w:rPr>
                <w:sz w:val="14"/>
              </w:rPr>
            </w:r>
            <w:r>
              <w:rPr>
                <w:sz w:val="14"/>
              </w:rPr>
              <w:t>Security &amp; Privacy Signals</w:t>
            </w:r>
          </w:p>
        </w:tc>
        <w:tc>
          <w:tcPr>
            <w:tcW w:type="dxa" w:w="1704"/>
            <w:vAlign w:val="center"/>
            <w:tcMar>
              <w:top w:w="80" w:type="dxa"/>
              <w:start w:w="90" w:type="dxa"/>
              <w:bottom w:w="80" w:type="dxa"/>
              <w:end w:w="90" w:type="dxa"/>
            </w:tcMar>
          </w:tcPr>
          <w:p>
            <w:pPr>
              <w:spacing w:after="0"/>
            </w:pPr>
            <w:r>
              <w:rPr>
                <w:sz w:val="14"/>
              </w:rPr>
            </w:r>
            <w:r>
              <w:rPr>
                <w:sz w:val="14"/>
              </w:rPr>
              <w:t>Security/Privacy, authorized incident responders</w:t>
            </w:r>
          </w:p>
        </w:tc>
        <w:tc>
          <w:tcPr>
            <w:tcW w:type="dxa" w:w="1704"/>
            <w:vAlign w:val="center"/>
            <w:tcMar>
              <w:top w:w="80" w:type="dxa"/>
              <w:start w:w="90" w:type="dxa"/>
              <w:bottom w:w="80" w:type="dxa"/>
              <w:end w:w="90" w:type="dxa"/>
            </w:tcMar>
          </w:tcPr>
          <w:p>
            <w:pPr>
              <w:spacing w:after="0"/>
            </w:pPr>
            <w:r>
              <w:rPr>
                <w:sz w:val="14"/>
              </w:rPr>
            </w:r>
            <w:r>
              <w:rPr>
                <w:sz w:val="14"/>
              </w:rPr>
              <w:t>Are isolation, authorization, logging and deletion controls functioning?</w:t>
            </w:r>
          </w:p>
        </w:tc>
        <w:tc>
          <w:tcPr>
            <w:tcW w:type="dxa" w:w="1704"/>
            <w:vAlign w:val="center"/>
            <w:tcMar>
              <w:top w:w="80" w:type="dxa"/>
              <w:start w:w="90" w:type="dxa"/>
              <w:bottom w:w="80" w:type="dxa"/>
              <w:end w:w="90" w:type="dxa"/>
            </w:tcMar>
          </w:tcPr>
          <w:p>
            <w:pPr>
              <w:spacing w:after="0"/>
            </w:pPr>
            <w:r>
              <w:rPr>
                <w:sz w:val="14"/>
              </w:rPr>
            </w:r>
            <w:r>
              <w:rPr>
                <w:sz w:val="14"/>
              </w:rPr>
              <w:t>As close to real-time as architecture permits</w:t>
            </w:r>
          </w:p>
        </w:tc>
        <w:tc>
          <w:tcPr>
            <w:tcW w:type="dxa" w:w="1704"/>
            <w:vAlign w:val="center"/>
            <w:tcMar>
              <w:top w:w="80" w:type="dxa"/>
              <w:start w:w="90" w:type="dxa"/>
              <w:bottom w:w="80" w:type="dxa"/>
              <w:end w:w="90" w:type="dxa"/>
            </w:tcMar>
          </w:tcPr>
          <w:p>
            <w:pPr>
              <w:spacing w:after="0"/>
            </w:pPr>
            <w:r>
              <w:rPr>
                <w:sz w:val="14"/>
              </w:rPr>
            </w:r>
            <w:r>
              <w:rPr>
                <w:sz w:val="14"/>
              </w:rPr>
              <w:t>Highly restricted; no broad product access</w:t>
            </w:r>
          </w:p>
        </w:tc>
      </w:tr>
      <w:tr>
        <w:tc>
          <w:tcPr>
            <w:tcW w:type="dxa" w:w="1704"/>
            <w:vAlign w:val="center"/>
            <w:tcMar>
              <w:top w:w="80" w:type="dxa"/>
              <w:start w:w="90" w:type="dxa"/>
              <w:bottom w:w="80" w:type="dxa"/>
              <w:end w:w="90" w:type="dxa"/>
            </w:tcMar>
          </w:tcPr>
          <w:p>
            <w:pPr>
              <w:spacing w:after="0"/>
            </w:pPr>
            <w:r>
              <w:rPr>
                <w:sz w:val="14"/>
              </w:rPr>
            </w:r>
            <w:r>
              <w:rPr>
                <w:sz w:val="14"/>
              </w:rPr>
              <w:t>DSH-008</w:t>
            </w:r>
          </w:p>
        </w:tc>
        <w:tc>
          <w:tcPr>
            <w:tcW w:type="dxa" w:w="1704"/>
            <w:vAlign w:val="center"/>
            <w:tcMar>
              <w:top w:w="80" w:type="dxa"/>
              <w:start w:w="90" w:type="dxa"/>
              <w:bottom w:w="80" w:type="dxa"/>
              <w:end w:w="90" w:type="dxa"/>
            </w:tcMar>
          </w:tcPr>
          <w:p>
            <w:pPr>
              <w:spacing w:after="0"/>
            </w:pPr>
            <w:r>
              <w:rPr>
                <w:sz w:val="14"/>
              </w:rPr>
            </w:r>
            <w:r>
              <w:rPr>
                <w:sz w:val="14"/>
              </w:rPr>
              <w:t>Research, Evidence &amp; Continuity</w:t>
            </w:r>
          </w:p>
        </w:tc>
        <w:tc>
          <w:tcPr>
            <w:tcW w:type="dxa" w:w="1704"/>
            <w:vAlign w:val="center"/>
            <w:tcMar>
              <w:top w:w="80" w:type="dxa"/>
              <w:start w:w="90" w:type="dxa"/>
              <w:bottom w:w="80" w:type="dxa"/>
              <w:end w:w="90" w:type="dxa"/>
            </w:tcMar>
          </w:tcPr>
          <w:p>
            <w:pPr>
              <w:spacing w:after="0"/>
            </w:pPr>
            <w:r>
              <w:rPr>
                <w:sz w:val="14"/>
              </w:rPr>
            </w:r>
            <w:r>
              <w:rPr>
                <w:sz w:val="14"/>
              </w:rPr>
              <w:t>Knowledge Management, Creative/Content</w:t>
            </w:r>
          </w:p>
        </w:tc>
        <w:tc>
          <w:tcPr>
            <w:tcW w:type="dxa" w:w="1704"/>
            <w:vAlign w:val="center"/>
            <w:tcMar>
              <w:top w:w="80" w:type="dxa"/>
              <w:start w:w="90" w:type="dxa"/>
              <w:bottom w:w="80" w:type="dxa"/>
              <w:end w:w="90" w:type="dxa"/>
            </w:tcMar>
          </w:tcPr>
          <w:p>
            <w:pPr>
              <w:spacing w:after="0"/>
            </w:pPr>
            <w:r>
              <w:rPr>
                <w:sz w:val="14"/>
              </w:rPr>
            </w:r>
            <w:r>
              <w:rPr>
                <w:sz w:val="14"/>
              </w:rPr>
              <w:t>Is evidence traceable and are continuity findings reviewed and resolved?</w:t>
            </w:r>
          </w:p>
        </w:tc>
        <w:tc>
          <w:tcPr>
            <w:tcW w:type="dxa" w:w="1704"/>
            <w:vAlign w:val="center"/>
            <w:tcMar>
              <w:top w:w="80" w:type="dxa"/>
              <w:start w:w="90" w:type="dxa"/>
              <w:bottom w:w="80" w:type="dxa"/>
              <w:end w:w="90" w:type="dxa"/>
            </w:tcMar>
          </w:tcPr>
          <w:p>
            <w:pPr>
              <w:spacing w:after="0"/>
            </w:pPr>
            <w:r>
              <w:rPr>
                <w:sz w:val="14"/>
              </w:rPr>
            </w:r>
            <w:r>
              <w:rPr>
                <w:sz w:val="14"/>
              </w:rPr>
              <w:t>Daily or per evaluation batch</w:t>
            </w:r>
          </w:p>
        </w:tc>
        <w:tc>
          <w:tcPr>
            <w:tcW w:type="dxa" w:w="1704"/>
            <w:vAlign w:val="center"/>
            <w:tcMar>
              <w:top w:w="80" w:type="dxa"/>
              <w:start w:w="90" w:type="dxa"/>
              <w:bottom w:w="80" w:type="dxa"/>
              <w:end w:w="90" w:type="dxa"/>
            </w:tcMar>
          </w:tcPr>
          <w:p>
            <w:pPr>
              <w:spacing w:after="0"/>
            </w:pPr>
            <w:r>
              <w:rPr>
                <w:sz w:val="14"/>
              </w:rPr>
            </w:r>
            <w:r>
              <w:rPr>
                <w:sz w:val="14"/>
              </w:rPr>
              <w:t>Project-level scope; content references require permission</w:t>
            </w:r>
          </w:p>
        </w:tc>
      </w:tr>
    </w:tbl>
    <w:p>
      <w:pPr>
        <w:spacing w:after="20"/>
      </w:pPr>
    </w:p>
    <w:p>
      <w:r>
        <w:t>All refresh frequencies are proposals, not achieved SLAs. Numeric targets and alert thresholds require baseline and approval.</w:t>
      </w:r>
    </w:p>
    <w:p>
      <w:pPr>
        <w:pStyle w:val="Heading1"/>
      </w:pPr>
      <w:r>
        <w:t>3. DSH-001 — Product Outcome &amp; North Star</w:t>
      </w:r>
    </w:p>
    <w:p>
      <w:pPr>
        <w:pStyle w:val="Heading2"/>
      </w:pPr>
      <w:r>
        <w:t>Questions</w:t>
      </w:r>
    </w:p>
    <w:p>
      <w:pPr>
        <w:pStyle w:val="ListBullet"/>
      </w:pPr>
      <w:r>
        <w:t>What is the distribution of time from accepted input to first approved package?</w:t>
      </w:r>
    </w:p>
    <w:p>
      <w:pPr>
        <w:pStyle w:val="ListBullet"/>
      </w:pPr>
      <w:r>
        <w:t>Is the trend different by project type, maturity, complexity or workflow version?</w:t>
      </w:r>
    </w:p>
    <w:p>
      <w:pPr>
        <w:pStyle w:val="ListBullet"/>
      </w:pPr>
      <w:r>
        <w:t>Are speed changes accompanied by changes in rejection, substantive revision, completeness, evidence traceability or continuity defects?</w:t>
      </w:r>
    </w:p>
    <w:p>
      <w:pPr>
        <w:pStyle w:val="ListBullet"/>
      </w:pPr>
      <w:r>
        <w:t>How many eligible projects are still incomplete, cancelled or missing milestones?</w:t>
      </w:r>
    </w:p>
    <w:p>
      <w:pPr>
        <w:pStyle w:val="Heading2"/>
      </w:pPr>
      <w:r>
        <w:t>Required models</w:t>
      </w:r>
    </w:p>
    <w:p>
      <w:r>
        <w:rPr>
          <w:rFonts w:ascii="Consolas" w:hAnsi="Consolas"/>
          <w:sz w:val="17"/>
        </w:rPr>
        <w:t>fact_project_milestone</w:t>
      </w:r>
      <w:r>
        <w:t xml:space="preserve">, </w:t>
      </w:r>
      <w:r>
        <w:rPr>
          <w:rFonts w:ascii="Consolas" w:hAnsi="Consolas"/>
          <w:sz w:val="17"/>
        </w:rPr>
        <w:t>fact_package_section</w:t>
      </w:r>
      <w:r>
        <w:t xml:space="preserve">, </w:t>
      </w:r>
      <w:r>
        <w:rPr>
          <w:rFonts w:ascii="Consolas" w:hAnsi="Consolas"/>
          <w:sz w:val="17"/>
        </w:rPr>
        <w:t>fact_candidate_decision</w:t>
      </w:r>
      <w:r>
        <w:t xml:space="preserve">, </w:t>
      </w:r>
      <w:r>
        <w:rPr>
          <w:rFonts w:ascii="Consolas" w:hAnsi="Consolas"/>
          <w:sz w:val="17"/>
        </w:rPr>
        <w:t>fact_review_decision</w:t>
      </w:r>
      <w:r>
        <w:t xml:space="preserve">, </w:t>
      </w:r>
      <w:r>
        <w:rPr>
          <w:rFonts w:ascii="Consolas" w:hAnsi="Consolas"/>
          <w:sz w:val="17"/>
        </w:rPr>
        <w:t>fact_continuity_check</w:t>
      </w:r>
      <w:r>
        <w:t xml:space="preserve">, </w:t>
      </w:r>
      <w:r>
        <w:rPr>
          <w:rFonts w:ascii="Consolas" w:hAnsi="Consolas"/>
          <w:sz w:val="17"/>
        </w:rPr>
        <w:t>fact_claim_evaluation</w:t>
      </w:r>
      <w:r>
        <w:t xml:space="preserve">, </w:t>
      </w:r>
      <w:r>
        <w:rPr>
          <w:rFonts w:ascii="Consolas" w:hAnsi="Consolas"/>
          <w:sz w:val="17"/>
        </w:rPr>
        <w:t>dim_project</w:t>
      </w:r>
      <w:r>
        <w:t xml:space="preserve">, </w:t>
      </w:r>
      <w:r>
        <w:rPr>
          <w:rFonts w:ascii="Consolas" w:hAnsi="Consolas"/>
          <w:sz w:val="17"/>
        </w:rPr>
        <w:t>dim_package_template</w:t>
      </w:r>
      <w:r>
        <w:t xml:space="preserve">, </w:t>
      </w:r>
      <w:r>
        <w:rPr>
          <w:rFonts w:ascii="Consolas" w:hAnsi="Consolas"/>
          <w:sz w:val="17"/>
        </w:rPr>
        <w:t>dim_workflow_version</w:t>
      </w:r>
      <w:r>
        <w:t>.</w:t>
      </w:r>
    </w:p>
    <w:p>
      <w:pPr>
        <w:pStyle w:val="Heading2"/>
      </w:pPr>
      <w:r>
        <w:t>Filters and windows</w:t>
      </w:r>
    </w:p>
    <w:p>
      <w:r>
        <w:t>Date cohort (accepted-input date and approval date separately), project type, maturity/complexity tags if approved, workflow version, environment, organization scope. Default chart uses approval cohort and shows start cohort counts; provide a separate start-cohort view to avoid survivorship bias.</w:t>
      </w:r>
    </w:p>
    <w:p>
      <w:pPr>
        <w:pStyle w:val="Heading2"/>
      </w:pPr>
      <w:r>
        <w:t>Layout wireframe</w:t>
      </w:r>
    </w:p>
    <w:p>
      <w:pPr>
        <w:ind w:left="259"/>
      </w:pPr>
      <w:r>
        <w:rPr>
          <w:rFonts w:ascii="Consolas" w:hAnsi="Consolas"/>
          <w:sz w:val="15"/>
        </w:rPr>
        <w:t>[Date range] [Project type] [Workflow version] [Organization scope]</w:t>
        <w:br/>
        <w:t>[Median time-to-approved package] [p75] [Completed n] [Incomplete n]</w:t>
        <w:br/>
        <w:t>[Trend by cohort + sample size]</w:t>
        <w:br/>
        <w:t>[Speed vs quality: completeness | acceptance | revision | continuity defects]</w:t>
        <w:br/>
        <w:t>[Stage funnel: accepted → candidate → reviewed → complete → approved]</w:t>
        <w:br/>
        <w:t>[Incomplete / excluded / data-quality warning panel]</w:t>
      </w:r>
    </w:p>
    <w:p>
      <w:pPr>
        <w:pStyle w:val="Heading2"/>
      </w:pPr>
      <w:r>
        <w:t>Acceptance criteria</w:t>
      </w:r>
    </w:p>
    <w:p>
      <w:pPr>
        <w:pStyle w:val="ListBullet"/>
      </w:pPr>
      <w:r>
        <w:t>Primary metric uses authoritative server timestamps and versioned approval/completeness contract.</w:t>
      </w:r>
    </w:p>
    <w:p>
      <w:pPr>
        <w:pStyle w:val="ListBullet"/>
      </w:pPr>
      <w:r>
        <w:t>Median and percentiles display sample size, cohort definition and freshness.</w:t>
      </w:r>
    </w:p>
    <w:p>
      <w:pPr>
        <w:pStyle w:val="ListBullet"/>
      </w:pPr>
      <w:r>
        <w:t>Incomplete/cancelled projects are visible; no successful-only chart is the only view.</w:t>
      </w:r>
    </w:p>
    <w:p>
      <w:pPr>
        <w:pStyle w:val="ListBullet"/>
      </w:pPr>
      <w:r>
        <w:t>Quality companion metrics and their denominators are visible next to speed.</w:t>
      </w:r>
    </w:p>
    <w:p>
      <w:pPr>
        <w:pStyle w:val="ListBullet"/>
      </w:pPr>
      <w:r>
        <w:t>No numeric target shown as achieved unless approved and supported by measured data.</w:t>
      </w:r>
    </w:p>
    <w:p>
      <w:pPr>
        <w:pStyle w:val="Heading1"/>
      </w:pPr>
      <w:r>
        <w:t>4. DSH-002 — Project Workflow Funnel</w:t>
      </w:r>
    </w:p>
    <w:p>
      <w:pPr>
        <w:pStyle w:val="Heading2"/>
      </w:pPr>
      <w:r>
        <w:t>Questions</w:t>
      </w:r>
    </w:p>
    <w:p>
      <w:pPr>
        <w:pStyle w:val="ListBullet"/>
      </w:pPr>
      <w:r>
        <w:t>Which workflow states have the longest elapsed time?</w:t>
      </w:r>
    </w:p>
    <w:p>
      <w:pPr>
        <w:pStyle w:val="ListBullet"/>
      </w:pPr>
      <w:r>
        <w:t>Are projects waiting for context, research, candidate review, approval or missing inputs?</w:t>
      </w:r>
    </w:p>
    <w:p>
      <w:pPr>
        <w:pStyle w:val="ListBullet"/>
      </w:pPr>
      <w:r>
        <w:t>What proportion of candidates are accepted, rejected, deferred or revised?</w:t>
      </w:r>
    </w:p>
    <w:p>
      <w:pPr>
        <w:pStyle w:val="ListBullet"/>
      </w:pPr>
      <w:r>
        <w:t>Are users repeatedly reconstructing context or revisiting previously decided questions?</w:t>
      </w:r>
    </w:p>
    <w:p>
      <w:pPr>
        <w:pStyle w:val="Heading2"/>
      </w:pPr>
      <w:r>
        <w:t>Required models</w:t>
      </w:r>
    </w:p>
    <w:p>
      <w:r>
        <w:rPr>
          <w:rFonts w:ascii="Consolas" w:hAnsi="Consolas"/>
          <w:sz w:val="17"/>
        </w:rPr>
        <w:t>fact_workflow_milestone</w:t>
      </w:r>
      <w:r>
        <w:t xml:space="preserve">, </w:t>
      </w:r>
      <w:r>
        <w:rPr>
          <w:rFonts w:ascii="Consolas" w:hAnsi="Consolas"/>
          <w:sz w:val="17"/>
        </w:rPr>
        <w:t>fact_ai_run</w:t>
      </w:r>
      <w:r>
        <w:t xml:space="preserve">, </w:t>
      </w:r>
      <w:r>
        <w:rPr>
          <w:rFonts w:ascii="Consolas" w:hAnsi="Consolas"/>
          <w:sz w:val="17"/>
        </w:rPr>
        <w:t>fact_candidate_decision</w:t>
      </w:r>
      <w:r>
        <w:t xml:space="preserve">, </w:t>
      </w:r>
      <w:r>
        <w:rPr>
          <w:rFonts w:ascii="Consolas" w:hAnsi="Consolas"/>
          <w:sz w:val="17"/>
        </w:rPr>
        <w:t>fact_review_decision</w:t>
      </w:r>
      <w:r>
        <w:t xml:space="preserve">, </w:t>
      </w:r>
      <w:r>
        <w:rPr>
          <w:rFonts w:ascii="Consolas" w:hAnsi="Consolas"/>
          <w:sz w:val="17"/>
        </w:rPr>
        <w:t>bridge_context_manifest_item</w:t>
      </w:r>
      <w:r>
        <w:t xml:space="preserve">, </w:t>
      </w:r>
      <w:r>
        <w:rPr>
          <w:rFonts w:ascii="Consolas" w:hAnsi="Consolas"/>
          <w:sz w:val="17"/>
        </w:rPr>
        <w:t>fact_artifact_revision</w:t>
      </w:r>
      <w:r>
        <w:t xml:space="preserve">, </w:t>
      </w:r>
      <w:r>
        <w:rPr>
          <w:rFonts w:ascii="Consolas" w:hAnsi="Consolas"/>
          <w:sz w:val="17"/>
        </w:rPr>
        <w:t>dim_project</w:t>
      </w:r>
      <w:r>
        <w:t>.</w:t>
      </w:r>
    </w:p>
    <w:p>
      <w:pPr>
        <w:pStyle w:val="Heading2"/>
      </w:pPr>
      <w:r>
        <w:t>Layout</w:t>
      </w:r>
    </w:p>
    <w:p>
      <w:pPr>
        <w:ind w:left="259"/>
      </w:pPr>
      <w:r>
        <w:rPr>
          <w:rFonts w:ascii="Consolas" w:hAnsi="Consolas"/>
          <w:sz w:val="15"/>
        </w:rPr>
        <w:t>[Project type] [Workflow] [Status] [Time window]</w:t>
        <w:br/>
        <w:t>[Active projects] [Projects with blocked state] [Median stage duration]</w:t>
        <w:br/>
        <w:t>[Stage distribution / aging buckets]</w:t>
        <w:br/>
        <w:t>[Candidate decisions: accepted | rejected | deferred | pending]</w:t>
        <w:br/>
        <w:t>[Rework reasons / repeated research / missing context]</w:t>
        <w:br/>
        <w:t>[Project-level drilldown subject to authorization]</w:t>
      </w:r>
    </w:p>
    <w:p>
      <w:r>
        <w:t>Aging thresholds are TBD. Pending review is not rejection; absence of a decision is not acceptance. Do not rank individual writers or reviewers without approved purpose, context and privacy review.</w:t>
      </w:r>
    </w:p>
    <w:p>
      <w:pPr>
        <w:pStyle w:val="Heading1"/>
      </w:pPr>
      <w:r>
        <w:t>5. DSH-003 — AI Run Health</w:t>
      </w:r>
    </w:p>
    <w:p>
      <w:pPr>
        <w:pStyle w:val="Heading2"/>
      </w:pPr>
      <w:r>
        <w:t>Questions</w:t>
      </w:r>
    </w:p>
    <w:p>
      <w:pPr>
        <w:pStyle w:val="ListBullet"/>
      </w:pPr>
      <w:r>
        <w:t>What are run success, partial success, failure, cancellation and policy-block rates?</w:t>
      </w:r>
    </w:p>
    <w:p>
      <w:pPr>
        <w:pStyle w:val="ListBullet"/>
      </w:pPr>
      <w:r>
        <w:t>Where are p50/p95 latencies, retries, queue age and provider errors increasing?</w:t>
      </w:r>
    </w:p>
    <w:p>
      <w:pPr>
        <w:pStyle w:val="ListBullet"/>
      </w:pPr>
      <w:r>
        <w:t>Are fallback routes used and are all routes approved?</w:t>
      </w:r>
    </w:p>
    <w:p>
      <w:pPr>
        <w:pStyle w:val="ListBullet"/>
      </w:pPr>
      <w:r>
        <w:t>Are required correlation IDs missing?</w:t>
      </w:r>
    </w:p>
    <w:p>
      <w:pPr>
        <w:pStyle w:val="Heading2"/>
      </w:pPr>
      <w:r>
        <w:t>Required models</w:t>
      </w:r>
    </w:p>
    <w:p>
      <w:r>
        <w:rPr>
          <w:rFonts w:ascii="Consolas" w:hAnsi="Consolas"/>
          <w:sz w:val="17"/>
        </w:rPr>
        <w:t>fact_ai_run</w:t>
      </w:r>
      <w:r>
        <w:t xml:space="preserve">, </w:t>
      </w:r>
      <w:r>
        <w:rPr>
          <w:rFonts w:ascii="Consolas" w:hAnsi="Consolas"/>
          <w:sz w:val="17"/>
        </w:rPr>
        <w:t>fact_ai_attempt</w:t>
      </w:r>
      <w:r>
        <w:t xml:space="preserve">, </w:t>
      </w:r>
      <w:r>
        <w:rPr>
          <w:rFonts w:ascii="Consolas" w:hAnsi="Consolas"/>
          <w:sz w:val="17"/>
        </w:rPr>
        <w:t>fact_model_call</w:t>
      </w:r>
      <w:r>
        <w:t xml:space="preserve">, </w:t>
      </w:r>
      <w:r>
        <w:rPr>
          <w:rFonts w:ascii="Consolas" w:hAnsi="Consolas"/>
          <w:sz w:val="17"/>
        </w:rPr>
        <w:t>fact_retrieval_operation</w:t>
      </w:r>
      <w:r>
        <w:t xml:space="preserve">, </w:t>
      </w:r>
      <w:r>
        <w:rPr>
          <w:rFonts w:ascii="Consolas" w:hAnsi="Consolas"/>
          <w:sz w:val="17"/>
        </w:rPr>
        <w:t>fact_tool_invocation</w:t>
      </w:r>
      <w:r>
        <w:t xml:space="preserve">, </w:t>
      </w:r>
      <w:r>
        <w:rPr>
          <w:rFonts w:ascii="Consolas" w:hAnsi="Consolas"/>
          <w:sz w:val="17"/>
        </w:rPr>
        <w:t>fact_pipeline_run</w:t>
      </w:r>
      <w:r>
        <w:t xml:space="preserve">, </w:t>
      </w:r>
      <w:r>
        <w:rPr>
          <w:rFonts w:ascii="Consolas" w:hAnsi="Consolas"/>
          <w:sz w:val="17"/>
        </w:rPr>
        <w:t>dim_model_version</w:t>
      </w:r>
      <w:r>
        <w:t xml:space="preserve">, </w:t>
      </w:r>
      <w:r>
        <w:rPr>
          <w:rFonts w:ascii="Consolas" w:hAnsi="Consolas"/>
          <w:sz w:val="17"/>
        </w:rPr>
        <w:t>dim_capability_version</w:t>
      </w:r>
      <w:r>
        <w:t>.</w:t>
      </w:r>
    </w:p>
    <w:p>
      <w:pPr>
        <w:pStyle w:val="Heading2"/>
      </w:pPr>
      <w:r>
        <w:t>Layout</w:t>
      </w:r>
    </w:p>
    <w:p>
      <w:pPr>
        <w:ind w:left="259"/>
      </w:pPr>
      <w:r>
        <w:rPr>
          <w:rFonts w:ascii="Consolas" w:hAnsi="Consolas"/>
          <w:sz w:val="15"/>
        </w:rPr>
        <w:t>[Environment] [Capability] [Model/provider alias] [Version]</w:t>
        <w:br/>
        <w:t>[Run success] [p95 latency] [Retry rate] [Cost attribution coverage]</w:t>
        <w:br/>
        <w:t>[Run outcomes over time] [Latency distribution]</w:t>
        <w:br/>
        <w:t>[Errors by class] [Queue age / backlog] [Fallbacks]</w:t>
        <w:br/>
        <w:t>[Missing correlation IDs / unapproved route signal]</w:t>
      </w:r>
    </w:p>
    <w:p>
      <w:r>
        <w:t>No raw prompt, response or retrieved content. Provider/model dimensions should use approved aliases and avoid exposing secrets or contract-restricted details.</w:t>
      </w:r>
    </w:p>
    <w:p>
      <w:pPr>
        <w:pStyle w:val="Heading1"/>
      </w:pPr>
      <w:r>
        <w:t>6. DSH-004 — AI Quality &amp; Evaluation</w:t>
      </w:r>
    </w:p>
    <w:p>
      <w:pPr>
        <w:pStyle w:val="Heading2"/>
      </w:pPr>
      <w:r>
        <w:t>Questions</w:t>
      </w:r>
    </w:p>
    <w:p>
      <w:pPr>
        <w:pStyle w:val="ListBullet"/>
      </w:pPr>
      <w:r>
        <w:t>Did a build/model/prompt/retrieval/tool change regress the approved evaluation suite?</w:t>
      </w:r>
    </w:p>
    <w:p>
      <w:pPr>
        <w:pStyle w:val="ListBullet"/>
      </w:pPr>
      <w:r>
        <w:t>How do groundedness, context sufficiency, instruction adherence, schema validity and creative usefulness compare?</w:t>
      </w:r>
    </w:p>
    <w:p>
      <w:pPr>
        <w:pStyle w:val="ListBullet"/>
      </w:pPr>
      <w:r>
        <w:t>How many cases were run, skipped, failed, adjudicated or disagreed upon?</w:t>
      </w:r>
    </w:p>
    <w:p>
      <w:pPr>
        <w:pStyle w:val="ListBullet"/>
      </w:pPr>
      <w:r>
        <w:t>Are any critical safety or Canon-integrity cases failing?</w:t>
      </w:r>
    </w:p>
    <w:p>
      <w:pPr>
        <w:pStyle w:val="Heading2"/>
      </w:pPr>
      <w:r>
        <w:t>Required models</w:t>
      </w:r>
    </w:p>
    <w:p>
      <w:r>
        <w:rPr>
          <w:rFonts w:ascii="Consolas" w:hAnsi="Consolas"/>
          <w:sz w:val="17"/>
        </w:rPr>
        <w:t>fact_evaluation_result</w:t>
      </w:r>
      <w:r>
        <w:t xml:space="preserve">, </w:t>
      </w:r>
      <w:r>
        <w:rPr>
          <w:rFonts w:ascii="Consolas" w:hAnsi="Consolas"/>
          <w:sz w:val="17"/>
        </w:rPr>
        <w:t>dim_evaluation_case</w:t>
      </w:r>
      <w:r>
        <w:t xml:space="preserve">, </w:t>
      </w:r>
      <w:r>
        <w:rPr>
          <w:rFonts w:ascii="Consolas" w:hAnsi="Consolas"/>
          <w:sz w:val="17"/>
        </w:rPr>
        <w:t>dim_dataset_version</w:t>
      </w:r>
      <w:r>
        <w:t xml:space="preserve">, </w:t>
      </w:r>
      <w:r>
        <w:rPr>
          <w:rFonts w:ascii="Consolas" w:hAnsi="Consolas"/>
          <w:sz w:val="17"/>
        </w:rPr>
        <w:t>dim_evaluator_version</w:t>
      </w:r>
      <w:r>
        <w:t xml:space="preserve">, </w:t>
      </w:r>
      <w:r>
        <w:rPr>
          <w:rFonts w:ascii="Consolas" w:hAnsi="Consolas"/>
          <w:sz w:val="17"/>
        </w:rPr>
        <w:t>dim_model_version</w:t>
      </w:r>
      <w:r>
        <w:t xml:space="preserve">, </w:t>
      </w:r>
      <w:r>
        <w:rPr>
          <w:rFonts w:ascii="Consolas" w:hAnsi="Consolas"/>
          <w:sz w:val="17"/>
        </w:rPr>
        <w:t>dim_prompt_version</w:t>
      </w:r>
      <w:r>
        <w:t xml:space="preserve">, </w:t>
      </w:r>
      <w:r>
        <w:rPr>
          <w:rFonts w:ascii="Consolas" w:hAnsi="Consolas"/>
          <w:sz w:val="17"/>
        </w:rPr>
        <w:t>dim_build_version</w:t>
      </w:r>
      <w:r>
        <w:t>.</w:t>
      </w:r>
    </w:p>
    <w:p>
      <w:pPr>
        <w:pStyle w:val="Heading2"/>
      </w:pPr>
      <w:r>
        <w:t>Layout</w:t>
      </w:r>
    </w:p>
    <w:p>
      <w:pPr>
        <w:ind w:left="259"/>
      </w:pPr>
      <w:r>
        <w:rPr>
          <w:rFonts w:ascii="Consolas" w:hAnsi="Consolas"/>
          <w:sz w:val="15"/>
        </w:rPr>
        <w:t>[Dataset version] [Build] [Model] [Prompt] [Retrieval/index] [Evaluator]</w:t>
        <w:br/>
        <w:t>[Critical gates: pass/fail/not run] [Cases run / total] [Human adjudication coverage]</w:t>
        <w:br/>
        <w:t>[Quality by dimension with confidence/uncertainty]</w:t>
        <w:br/>
        <w:t>[Version comparison on matched cases]</w:t>
        <w:br/>
        <w:t>[Failed cases by severity and failure taxonomy]</w:t>
      </w:r>
    </w:p>
    <w:p>
      <w:r>
        <w:t>Do not collapse all quality dimensions into a single score if it can hide a safety failure. Unrun cases are not passes. Regression comparison requires same dataset and comparable configuration, or a clear note describing differences.</w:t>
      </w:r>
    </w:p>
    <w:p>
      <w:pPr>
        <w:pStyle w:val="Heading1"/>
      </w:pPr>
      <w:r>
        <w:t>7. DSH-005 — Cost &amp; Unit Economics</w:t>
      </w:r>
    </w:p>
    <w:p>
      <w:pPr>
        <w:pStyle w:val="Heading2"/>
      </w:pPr>
      <w:r>
        <w:t>Questions</w:t>
      </w:r>
    </w:p>
    <w:p>
      <w:pPr>
        <w:pStyle w:val="ListBullet"/>
      </w:pPr>
      <w:r>
        <w:t>What are attributable model/tool costs per run, project and successful approved package?</w:t>
      </w:r>
    </w:p>
    <w:p>
      <w:pPr>
        <w:pStyle w:val="ListBullet"/>
      </w:pPr>
      <w:r>
        <w:t>What proportion of costs are actual, estimated or unavailable?</w:t>
      </w:r>
    </w:p>
    <w:p>
      <w:pPr>
        <w:pStyle w:val="ListBullet"/>
      </w:pPr>
      <w:r>
        <w:t>Which workflows have the largest cost variance, retries or failed-run spend?</w:t>
      </w:r>
    </w:p>
    <w:p>
      <w:pPr>
        <w:pStyle w:val="Heading2"/>
      </w:pPr>
      <w:r>
        <w:t>Required models</w:t>
      </w:r>
    </w:p>
    <w:p>
      <w:r>
        <w:rPr>
          <w:rFonts w:ascii="Consolas" w:hAnsi="Consolas"/>
          <w:sz w:val="17"/>
        </w:rPr>
        <w:t>fact_ai_cost</w:t>
      </w:r>
      <w:r>
        <w:t xml:space="preserve">, </w:t>
      </w:r>
      <w:r>
        <w:rPr>
          <w:rFonts w:ascii="Consolas" w:hAnsi="Consolas"/>
          <w:sz w:val="17"/>
        </w:rPr>
        <w:t>fact_model_call</w:t>
      </w:r>
      <w:r>
        <w:t xml:space="preserve">, </w:t>
      </w:r>
      <w:r>
        <w:rPr>
          <w:rFonts w:ascii="Consolas" w:hAnsi="Consolas"/>
          <w:sz w:val="17"/>
        </w:rPr>
        <w:t>fact_tool_invocation</w:t>
      </w:r>
      <w:r>
        <w:t xml:space="preserve">, </w:t>
      </w:r>
      <w:r>
        <w:rPr>
          <w:rFonts w:ascii="Consolas" w:hAnsi="Consolas"/>
          <w:sz w:val="17"/>
        </w:rPr>
        <w:t>fact_ai_run</w:t>
      </w:r>
      <w:r>
        <w:t xml:space="preserve">, </w:t>
      </w:r>
      <w:r>
        <w:rPr>
          <w:rFonts w:ascii="Consolas" w:hAnsi="Consolas"/>
          <w:sz w:val="17"/>
        </w:rPr>
        <w:t>fact_project_milestone</w:t>
      </w:r>
      <w:r>
        <w:t xml:space="preserve">, </w:t>
      </w:r>
      <w:r>
        <w:rPr>
          <w:rFonts w:ascii="Consolas" w:hAnsi="Consolas"/>
          <w:sz w:val="17"/>
        </w:rPr>
        <w:t>dim_pricing_version</w:t>
      </w:r>
      <w:r>
        <w:t>.</w:t>
      </w:r>
    </w:p>
    <w:p>
      <w:pPr>
        <w:pStyle w:val="Heading2"/>
      </w:pPr>
      <w:r>
        <w:t>Layout</w:t>
      </w:r>
    </w:p>
    <w:p>
      <w:pPr>
        <w:ind w:left="259"/>
      </w:pPr>
      <w:r>
        <w:rPr>
          <w:rFonts w:ascii="Consolas" w:hAnsi="Consolas"/>
          <w:sz w:val="15"/>
        </w:rPr>
        <w:t>[Period] [Currency] [Workflow] [Model/provider alias]</w:t>
        <w:br/>
        <w:t>[Total attributable cost] [Cost/run] [Cost/successful task] [Cost/approved package]</w:t>
        <w:br/>
        <w:t>[Actual vs estimated vs unavailable]</w:t>
        <w:br/>
        <w:t>[Cost by workflow and component] [Retry/failed-run spend]</w:t>
        <w:br/>
        <w:t>[Attribution coverage and pricing-version warning]</w:t>
      </w:r>
    </w:p>
    <w:p>
      <w:r>
        <w:t>Do not present cost per successful task without including attributable costs from failed runs in the defined numerator. Do not compare currencies or pricing periods without normalization. Provider metadata may be delayed or incomplete.</w:t>
      </w:r>
    </w:p>
    <w:p>
      <w:pPr>
        <w:pStyle w:val="Heading1"/>
      </w:pPr>
      <w:r>
        <w:t>8. DSH-006 — Data Quality &amp; Pipeline Reliability</w:t>
      </w:r>
    </w:p>
    <w:p>
      <w:pPr>
        <w:pStyle w:val="Heading2"/>
      </w:pPr>
      <w:r>
        <w:t>Required signals</w:t>
      </w:r>
    </w:p>
    <w:p>
      <w:pPr>
        <w:pStyle w:val="ListBullet"/>
      </w:pPr>
      <w:r>
        <w:t>Event completeness against authoritative source action counts.</w:t>
      </w:r>
    </w:p>
    <w:p>
      <w:pPr>
        <w:pStyle w:val="ListBullet"/>
      </w:pPr>
      <w:r>
        <w:t>Duplicate rate and conflicting duplicate IDs.</w:t>
      </w:r>
    </w:p>
    <w:p>
      <w:pPr>
        <w:pStyle w:val="ListBullet"/>
      </w:pPr>
      <w:r>
        <w:t>Schema failures, unknown event versions and quarantine volume.</w:t>
      </w:r>
    </w:p>
    <w:p>
      <w:pPr>
        <w:pStyle w:val="ListBullet"/>
      </w:pPr>
      <w:r>
        <w:t>Referential integrity and cross-tenant/project scope violations.</w:t>
      </w:r>
    </w:p>
    <w:p>
      <w:pPr>
        <w:pStyle w:val="ListBullet"/>
      </w:pPr>
      <w:r>
        <w:t>Event-time to warehouse-availability freshness lag.</w:t>
      </w:r>
    </w:p>
    <w:p>
      <w:pPr>
        <w:pStyle w:val="ListBullet"/>
      </w:pPr>
      <w:r>
        <w:t>Transformation failures, retries, backfill status and reconciliation deltas.</w:t>
      </w:r>
    </w:p>
    <w:p>
      <w:pPr>
        <w:pStyle w:val="ListBullet"/>
      </w:pPr>
      <w:r>
        <w:t>AI telemetry coverage and missing correlation identifiers.</w:t>
      </w:r>
    </w:p>
    <w:p>
      <w:pPr>
        <w:pStyle w:val="Heading2"/>
      </w:pPr>
      <w:r>
        <w:t>Layout</w:t>
      </w:r>
    </w:p>
    <w:p>
      <w:pPr>
        <w:ind w:left="259"/>
      </w:pPr>
      <w:r>
        <w:rPr>
          <w:rFonts w:ascii="Consolas" w:hAnsi="Consolas"/>
          <w:sz w:val="15"/>
        </w:rPr>
        <w:t>[Pipeline/model] [Time window] [Environment]</w:t>
        <w:br/>
        <w:t>[Freshness lag] [Valid event %] [Duplicate rate] [Quarantine backlog]</w:t>
        <w:br/>
        <w:t>[Pipeline runs and failures] [Reconciliation deltas]</w:t>
        <w:br/>
        <w:t>[Schema versions / contract test status]</w:t>
        <w:br/>
        <w:t>[Backfill/replay status and last successful reconciliation]</w:t>
      </w:r>
    </w:p>
    <w:p>
      <w:r>
        <w:t>Thresholds are proposed only after baseline and owner approval. Any tenant-scope mismatch or potential sensitive-content leakage is critical and follows security incident handling.</w:t>
      </w:r>
    </w:p>
    <w:p>
      <w:pPr>
        <w:pStyle w:val="Heading1"/>
      </w:pPr>
      <w:r>
        <w:t>9. DSH-007 — Security &amp; Privacy Signals</w:t>
      </w:r>
    </w:p>
    <w:p>
      <w:r>
        <w:t>This dashboard is restricted, not a general product analytics surface. It contains aggregate counts and incident references for denied/allowed policy decisions, suspicious scope mismatch, unauthorized tool attempts, provider-route blocks, prohibited-content logging detections, deletion workflow status, access/export events and audit coverage. Do not expose project content, secret values or broad project-existence information.</w:t>
      </w:r>
    </w:p>
    <w:p>
      <w:r>
        <w:rPr>
          <w:b/>
        </w:rPr>
        <w:t>Critical gates:</w:t>
      </w:r>
      <w:r>
        <w:t xml:space="preserve"> any confirmed cross-project leakage, unauthorized Canon mutation, approval bypass, unauthorized tool execution or unapproved provider routing blocks release/trigger incident response according to the approved policy. No averaging or green dashboard status may override a confirmed critical event.</w:t>
      </w:r>
    </w:p>
    <w:p>
      <w:r>
        <w:t>Deletion state must distinguish requested, queued, primary deleted, derived data invalidated, provider deletion requested/confirmed where applicable, backup expiry pending and completed with evidence. Do not claim complete when a downstream copy is unverified.</w:t>
      </w:r>
    </w:p>
    <w:p>
      <w:pPr>
        <w:pStyle w:val="Heading1"/>
      </w:pPr>
      <w:r>
        <w:t>10. DSH-008 — Research, Evidence &amp; Continuity</w:t>
      </w:r>
    </w:p>
    <w:p>
      <w:pPr>
        <w:pStyle w:val="Heading2"/>
      </w:pPr>
      <w:r>
        <w:t>Questions</w:t>
      </w:r>
    </w:p>
    <w:p>
      <w:pPr>
        <w:pStyle w:val="ListBullet"/>
      </w:pPr>
      <w:r>
        <w:t>Are factual claims linked to evidence with source locators and status?</w:t>
      </w:r>
    </w:p>
    <w:p>
      <w:pPr>
        <w:pStyle w:val="ListBullet"/>
      </w:pPr>
      <w:r>
        <w:t>What is the review outcome for AI-detected continuity issues?</w:t>
      </w:r>
    </w:p>
    <w:p>
      <w:pPr>
        <w:pStyle w:val="ListBullet"/>
      </w:pPr>
      <w:r>
        <w:t>Which defects are confirmed, rejected as false positives, unresolved or corrected?</w:t>
      </w:r>
    </w:p>
    <w:p>
      <w:pPr>
        <w:pStyle w:val="ListBullet"/>
      </w:pPr>
      <w:r>
        <w:t>Are source provenance and context-manifest references retained through output review?</w:t>
      </w:r>
    </w:p>
    <w:p>
      <w:pPr>
        <w:pStyle w:val="Heading2"/>
      </w:pPr>
      <w:r>
        <w:t>Required models</w:t>
      </w:r>
    </w:p>
    <w:p>
      <w:r>
        <w:rPr>
          <w:rFonts w:ascii="Consolas" w:hAnsi="Consolas"/>
          <w:sz w:val="17"/>
        </w:rPr>
        <w:t>fact_claim_evaluation</w:t>
      </w:r>
      <w:r>
        <w:t xml:space="preserve">, </w:t>
      </w:r>
      <w:r>
        <w:rPr>
          <w:rFonts w:ascii="Consolas" w:hAnsi="Consolas"/>
          <w:sz w:val="17"/>
        </w:rPr>
        <w:t>bridge_claim_evidence</w:t>
      </w:r>
      <w:r>
        <w:t xml:space="preserve">, </w:t>
      </w:r>
      <w:r>
        <w:rPr>
          <w:rFonts w:ascii="Consolas" w:hAnsi="Consolas"/>
          <w:sz w:val="17"/>
        </w:rPr>
        <w:t>dim_source_reference</w:t>
      </w:r>
      <w:r>
        <w:t xml:space="preserve">, </w:t>
      </w:r>
      <w:r>
        <w:rPr>
          <w:rFonts w:ascii="Consolas" w:hAnsi="Consolas"/>
          <w:sz w:val="17"/>
        </w:rPr>
        <w:t>fact_continuity_check</w:t>
      </w:r>
      <w:r>
        <w:t xml:space="preserve">, </w:t>
      </w:r>
      <w:r>
        <w:rPr>
          <w:rFonts w:ascii="Consolas" w:hAnsi="Consolas"/>
          <w:sz w:val="17"/>
        </w:rPr>
        <w:t>fact_defect</w:t>
      </w:r>
      <w:r>
        <w:t xml:space="preserve">, </w:t>
      </w:r>
      <w:r>
        <w:rPr>
          <w:rFonts w:ascii="Consolas" w:hAnsi="Consolas"/>
          <w:sz w:val="17"/>
        </w:rPr>
        <w:t>dim_project_item</w:t>
      </w:r>
      <w:r>
        <w:t>.</w:t>
      </w:r>
    </w:p>
    <w:p>
      <w:pPr>
        <w:pStyle w:val="Heading2"/>
      </w:pPr>
      <w:r>
        <w:t>Layout</w:t>
      </w:r>
    </w:p>
    <w:p>
      <w:pPr>
        <w:ind w:left="259"/>
      </w:pPr>
      <w:r>
        <w:rPr>
          <w:rFonts w:ascii="Consolas" w:hAnsi="Consolas"/>
          <w:sz w:val="15"/>
        </w:rPr>
        <w:t>[Project scope] [Artifact type] [Evaluation version] [Time window]</w:t>
        <w:br/>
        <w:t>[Evidence traceability coverage] [Confirmed continuity defects] [Unresolved review items]</w:t>
        <w:br/>
        <w:t>[Claim provenance status] [Source trust tier, if configured]</w:t>
        <w:br/>
        <w:t>[Defect severity and resolution state]</w:t>
        <w:br/>
        <w:t>[Restricted links to source/artifact, opened only after permission check]</w:t>
      </w:r>
    </w:p>
    <w:p>
      <w:r>
        <w:t>AI-detected issues are not confirmed defects until the approved review/labeling process classifies them. A source citation alone does not prove claim correctness.</w:t>
      </w:r>
    </w:p>
    <w:p>
      <w:pPr>
        <w:pStyle w:val="Heading1"/>
      </w:pPr>
      <w:r>
        <w:t>11. Serving layer contracts</w:t>
      </w:r>
    </w:p>
    <w:p>
      <w:r>
        <w:t>Recommended logical serving objects; technology is not selected.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ID</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Serving object</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Grain</w:t>
            </w:r>
          </w:p>
        </w:tc>
        <w:tc>
          <w:tcPr>
            <w:tcW w:type="dxa" w:w="2556"/>
            <w:vAlign w:val="center"/>
            <w:tcMar>
              <w:top w:w="80" w:type="dxa"/>
              <w:start w:w="90" w:type="dxa"/>
              <w:bottom w:w="80" w:type="dxa"/>
              <w:end w:w="90" w:type="dxa"/>
            </w:tcMar>
            <w:shd w:fill="E9EEF5"/>
          </w:tcPr>
          <w:p>
            <w:pPr>
              <w:spacing w:after="0"/>
            </w:pPr>
            <w:r>
              <w:rPr>
                <w:b/>
                <w:color w:val="17365D"/>
                <w:sz w:val="14"/>
              </w:rPr>
            </w:r>
            <w:r>
              <w:rPr>
                <w:b/>
                <w:color w:val="17365D"/>
                <w:sz w:val="14"/>
              </w:rPr>
              <w:t>Required columns / contract</w:t>
            </w:r>
          </w:p>
        </w:tc>
      </w:tr>
      <w:tr>
        <w:tc>
          <w:tcPr>
            <w:tcW w:type="dxa" w:w="2556"/>
            <w:vAlign w:val="center"/>
            <w:tcMar>
              <w:top w:w="80" w:type="dxa"/>
              <w:start w:w="90" w:type="dxa"/>
              <w:bottom w:w="80" w:type="dxa"/>
              <w:end w:w="90" w:type="dxa"/>
            </w:tcMar>
          </w:tcPr>
          <w:p>
            <w:pPr>
              <w:spacing w:after="0"/>
            </w:pPr>
            <w:r>
              <w:rPr>
                <w:sz w:val="14"/>
              </w:rPr>
            </w:r>
            <w:r>
              <w:rPr>
                <w:sz w:val="14"/>
              </w:rPr>
              <w:t>MODEL-001</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mart_north_star_project</w:t>
            </w:r>
          </w:p>
        </w:tc>
        <w:tc>
          <w:tcPr>
            <w:tcW w:type="dxa" w:w="2556"/>
            <w:vAlign w:val="center"/>
            <w:tcMar>
              <w:top w:w="80" w:type="dxa"/>
              <w:start w:w="90" w:type="dxa"/>
              <w:bottom w:w="80" w:type="dxa"/>
              <w:end w:w="90" w:type="dxa"/>
            </w:tcMar>
          </w:tcPr>
          <w:p>
            <w:pPr>
              <w:spacing w:after="0"/>
            </w:pPr>
            <w:r>
              <w:rPr>
                <w:sz w:val="14"/>
              </w:rPr>
            </w:r>
            <w:r>
              <w:rPr>
                <w:sz w:val="14"/>
              </w:rPr>
              <w:t>Project × qualifying package version</w:t>
            </w:r>
          </w:p>
        </w:tc>
        <w:tc>
          <w:tcPr>
            <w:tcW w:type="dxa" w:w="2556"/>
            <w:vAlign w:val="center"/>
            <w:tcMar>
              <w:top w:w="80" w:type="dxa"/>
              <w:start w:w="90" w:type="dxa"/>
              <w:bottom w:w="80" w:type="dxa"/>
              <w:end w:w="90" w:type="dxa"/>
            </w:tcMar>
          </w:tcPr>
          <w:p>
            <w:pPr>
              <w:spacing w:after="0"/>
            </w:pPr>
            <w:r>
              <w:rPr>
                <w:sz w:val="14"/>
              </w:rPr>
            </w:r>
            <w:r>
              <w:rPr>
                <w:sz w:val="14"/>
              </w:rPr>
              <w:t>project/package opaque keys, accepted/approved times, elapsed hours, completeness, cohort dates, data-quality status</w:t>
            </w:r>
          </w:p>
        </w:tc>
      </w:tr>
      <w:tr>
        <w:tc>
          <w:tcPr>
            <w:tcW w:type="dxa" w:w="2556"/>
            <w:vAlign w:val="center"/>
            <w:tcMar>
              <w:top w:w="80" w:type="dxa"/>
              <w:start w:w="90" w:type="dxa"/>
              <w:bottom w:w="80" w:type="dxa"/>
              <w:end w:w="90" w:type="dxa"/>
            </w:tcMar>
          </w:tcPr>
          <w:p>
            <w:pPr>
              <w:spacing w:after="0"/>
            </w:pPr>
            <w:r>
              <w:rPr>
                <w:sz w:val="14"/>
              </w:rPr>
            </w:r>
            <w:r>
              <w:rPr>
                <w:sz w:val="14"/>
              </w:rPr>
              <w:t>MODEL-002</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mart_workflow_funnel_daily</w:t>
            </w:r>
          </w:p>
        </w:tc>
        <w:tc>
          <w:tcPr>
            <w:tcW w:type="dxa" w:w="2556"/>
            <w:vAlign w:val="center"/>
            <w:tcMar>
              <w:top w:w="80" w:type="dxa"/>
              <w:start w:w="90" w:type="dxa"/>
              <w:bottom w:w="80" w:type="dxa"/>
              <w:end w:w="90" w:type="dxa"/>
            </w:tcMar>
          </w:tcPr>
          <w:p>
            <w:pPr>
              <w:spacing w:after="0"/>
            </w:pPr>
            <w:r>
              <w:rPr>
                <w:sz w:val="14"/>
              </w:rPr>
            </w:r>
            <w:r>
              <w:rPr>
                <w:sz w:val="14"/>
              </w:rPr>
              <w:t>Date × workflow type/version × state</w:t>
            </w:r>
          </w:p>
        </w:tc>
        <w:tc>
          <w:tcPr>
            <w:tcW w:type="dxa" w:w="2556"/>
            <w:vAlign w:val="center"/>
            <w:tcMar>
              <w:top w:w="80" w:type="dxa"/>
              <w:start w:w="90" w:type="dxa"/>
              <w:bottom w:w="80" w:type="dxa"/>
              <w:end w:w="90" w:type="dxa"/>
            </w:tcMar>
          </w:tcPr>
          <w:p>
            <w:pPr>
              <w:spacing w:after="0"/>
            </w:pPr>
            <w:r>
              <w:rPr>
                <w:sz w:val="14"/>
              </w:rPr>
            </w:r>
            <w:r>
              <w:rPr>
                <w:sz w:val="14"/>
              </w:rPr>
              <w:t>eligible count, transitions, incomplete count, duration percentiles, cohort definition</w:t>
            </w:r>
          </w:p>
        </w:tc>
      </w:tr>
      <w:tr>
        <w:tc>
          <w:tcPr>
            <w:tcW w:type="dxa" w:w="2556"/>
            <w:vAlign w:val="center"/>
            <w:tcMar>
              <w:top w:w="80" w:type="dxa"/>
              <w:start w:w="90" w:type="dxa"/>
              <w:bottom w:w="80" w:type="dxa"/>
              <w:end w:w="90" w:type="dxa"/>
            </w:tcMar>
          </w:tcPr>
          <w:p>
            <w:pPr>
              <w:spacing w:after="0"/>
            </w:pPr>
            <w:r>
              <w:rPr>
                <w:sz w:val="14"/>
              </w:rPr>
            </w:r>
            <w:r>
              <w:rPr>
                <w:sz w:val="14"/>
              </w:rPr>
              <w:t>MODEL-003</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mart_ai_run_health</w:t>
            </w:r>
          </w:p>
        </w:tc>
        <w:tc>
          <w:tcPr>
            <w:tcW w:type="dxa" w:w="2556"/>
            <w:vAlign w:val="center"/>
            <w:tcMar>
              <w:top w:w="80" w:type="dxa"/>
              <w:start w:w="90" w:type="dxa"/>
              <w:bottom w:w="80" w:type="dxa"/>
              <w:end w:w="90" w:type="dxa"/>
            </w:tcMar>
          </w:tcPr>
          <w:p>
            <w:pPr>
              <w:spacing w:after="0"/>
            </w:pPr>
            <w:r>
              <w:rPr>
                <w:sz w:val="14"/>
              </w:rPr>
            </w:r>
            <w:r>
              <w:rPr>
                <w:sz w:val="14"/>
              </w:rPr>
              <w:t>Time bucket × capability/version × status</w:t>
            </w:r>
          </w:p>
        </w:tc>
        <w:tc>
          <w:tcPr>
            <w:tcW w:type="dxa" w:w="2556"/>
            <w:vAlign w:val="center"/>
            <w:tcMar>
              <w:top w:w="80" w:type="dxa"/>
              <w:start w:w="90" w:type="dxa"/>
              <w:bottom w:w="80" w:type="dxa"/>
              <w:end w:w="90" w:type="dxa"/>
            </w:tcMar>
          </w:tcPr>
          <w:p>
            <w:pPr>
              <w:spacing w:after="0"/>
            </w:pPr>
            <w:r>
              <w:rPr>
                <w:sz w:val="14"/>
              </w:rPr>
            </w:r>
            <w:r>
              <w:rPr>
                <w:sz w:val="14"/>
              </w:rPr>
              <w:t>run counts, status counts, latency percentiles, retry/error counts, freshness</w:t>
            </w:r>
          </w:p>
        </w:tc>
      </w:tr>
      <w:tr>
        <w:tc>
          <w:tcPr>
            <w:tcW w:type="dxa" w:w="2556"/>
            <w:vAlign w:val="center"/>
            <w:tcMar>
              <w:top w:w="80" w:type="dxa"/>
              <w:start w:w="90" w:type="dxa"/>
              <w:bottom w:w="80" w:type="dxa"/>
              <w:end w:w="90" w:type="dxa"/>
            </w:tcMar>
          </w:tcPr>
          <w:p>
            <w:pPr>
              <w:spacing w:after="0"/>
            </w:pPr>
            <w:r>
              <w:rPr>
                <w:sz w:val="14"/>
              </w:rPr>
            </w:r>
            <w:r>
              <w:rPr>
                <w:sz w:val="14"/>
              </w:rPr>
              <w:t>MODEL-004</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mart_ai_quality_release</w:t>
            </w:r>
          </w:p>
        </w:tc>
        <w:tc>
          <w:tcPr>
            <w:tcW w:type="dxa" w:w="2556"/>
            <w:vAlign w:val="center"/>
            <w:tcMar>
              <w:top w:w="80" w:type="dxa"/>
              <w:start w:w="90" w:type="dxa"/>
              <w:bottom w:w="80" w:type="dxa"/>
              <w:end w:w="90" w:type="dxa"/>
            </w:tcMar>
          </w:tcPr>
          <w:p>
            <w:pPr>
              <w:spacing w:after="0"/>
            </w:pPr>
            <w:r>
              <w:rPr>
                <w:sz w:val="14"/>
              </w:rPr>
            </w:r>
            <w:r>
              <w:rPr>
                <w:sz w:val="14"/>
              </w:rPr>
              <w:t>Evaluation run × dataset × metric × version</w:t>
            </w:r>
          </w:p>
        </w:tc>
        <w:tc>
          <w:tcPr>
            <w:tcW w:type="dxa" w:w="2556"/>
            <w:vAlign w:val="center"/>
            <w:tcMar>
              <w:top w:w="80" w:type="dxa"/>
              <w:start w:w="90" w:type="dxa"/>
              <w:bottom w:w="80" w:type="dxa"/>
              <w:end w:w="90" w:type="dxa"/>
            </w:tcMar>
          </w:tcPr>
          <w:p>
            <w:pPr>
              <w:spacing w:after="0"/>
            </w:pPr>
            <w:r>
              <w:rPr>
                <w:sz w:val="14"/>
              </w:rPr>
            </w:r>
            <w:r>
              <w:rPr>
                <w:sz w:val="14"/>
              </w:rPr>
              <w:t>numerator/denominator or score, uncertainty, case counts, not-run counts, evaluator version</w:t>
            </w:r>
          </w:p>
        </w:tc>
      </w:tr>
      <w:tr>
        <w:tc>
          <w:tcPr>
            <w:tcW w:type="dxa" w:w="2556"/>
            <w:vAlign w:val="center"/>
            <w:tcMar>
              <w:top w:w="80" w:type="dxa"/>
              <w:start w:w="90" w:type="dxa"/>
              <w:bottom w:w="80" w:type="dxa"/>
              <w:end w:w="90" w:type="dxa"/>
            </w:tcMar>
          </w:tcPr>
          <w:p>
            <w:pPr>
              <w:spacing w:after="0"/>
            </w:pPr>
            <w:r>
              <w:rPr>
                <w:sz w:val="14"/>
              </w:rPr>
            </w:r>
            <w:r>
              <w:rPr>
                <w:sz w:val="14"/>
              </w:rPr>
              <w:t>MODEL-005</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mart_ai_cost_unit</w:t>
            </w:r>
          </w:p>
        </w:tc>
        <w:tc>
          <w:tcPr>
            <w:tcW w:type="dxa" w:w="2556"/>
            <w:vAlign w:val="center"/>
            <w:tcMar>
              <w:top w:w="80" w:type="dxa"/>
              <w:start w:w="90" w:type="dxa"/>
              <w:bottom w:w="80" w:type="dxa"/>
              <w:end w:w="90" w:type="dxa"/>
            </w:tcMar>
          </w:tcPr>
          <w:p>
            <w:pPr>
              <w:spacing w:after="0"/>
            </w:pPr>
            <w:r>
              <w:rPr>
                <w:sz w:val="14"/>
              </w:rPr>
            </w:r>
            <w:r>
              <w:rPr>
                <w:sz w:val="14"/>
              </w:rPr>
              <w:t>Period × workflow × pricing version</w:t>
            </w:r>
          </w:p>
        </w:tc>
        <w:tc>
          <w:tcPr>
            <w:tcW w:type="dxa" w:w="2556"/>
            <w:vAlign w:val="center"/>
            <w:tcMar>
              <w:top w:w="80" w:type="dxa"/>
              <w:start w:w="90" w:type="dxa"/>
              <w:bottom w:w="80" w:type="dxa"/>
              <w:end w:w="90" w:type="dxa"/>
            </w:tcMar>
          </w:tcPr>
          <w:p>
            <w:pPr>
              <w:spacing w:after="0"/>
            </w:pPr>
            <w:r>
              <w:rPr>
                <w:sz w:val="14"/>
              </w:rPr>
            </w:r>
            <w:r>
              <w:rPr>
                <w:sz w:val="14"/>
              </w:rPr>
              <w:t>amount, currency, actual/estimated/unavailable split, attributed coverage, denominator</w:t>
            </w:r>
          </w:p>
        </w:tc>
      </w:tr>
      <w:tr>
        <w:tc>
          <w:tcPr>
            <w:tcW w:type="dxa" w:w="2556"/>
            <w:vAlign w:val="center"/>
            <w:tcMar>
              <w:top w:w="80" w:type="dxa"/>
              <w:start w:w="90" w:type="dxa"/>
              <w:bottom w:w="80" w:type="dxa"/>
              <w:end w:w="90" w:type="dxa"/>
            </w:tcMar>
          </w:tcPr>
          <w:p>
            <w:pPr>
              <w:spacing w:after="0"/>
            </w:pPr>
            <w:r>
              <w:rPr>
                <w:sz w:val="14"/>
              </w:rPr>
            </w:r>
            <w:r>
              <w:rPr>
                <w:sz w:val="14"/>
              </w:rPr>
              <w:t>MODEL-006</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mart_data_quality</w:t>
            </w:r>
          </w:p>
        </w:tc>
        <w:tc>
          <w:tcPr>
            <w:tcW w:type="dxa" w:w="2556"/>
            <w:vAlign w:val="center"/>
            <w:tcMar>
              <w:top w:w="80" w:type="dxa"/>
              <w:start w:w="90" w:type="dxa"/>
              <w:bottom w:w="80" w:type="dxa"/>
              <w:end w:w="90" w:type="dxa"/>
            </w:tcMar>
          </w:tcPr>
          <w:p>
            <w:pPr>
              <w:spacing w:after="0"/>
            </w:pPr>
            <w:r>
              <w:rPr>
                <w:sz w:val="14"/>
              </w:rPr>
            </w:r>
            <w:r>
              <w:rPr>
                <w:sz w:val="14"/>
              </w:rPr>
              <w:t>Check × model × run/time bucket</w:t>
            </w:r>
          </w:p>
        </w:tc>
        <w:tc>
          <w:tcPr>
            <w:tcW w:type="dxa" w:w="2556"/>
            <w:vAlign w:val="center"/>
            <w:tcMar>
              <w:top w:w="80" w:type="dxa"/>
              <w:start w:w="90" w:type="dxa"/>
              <w:bottom w:w="80" w:type="dxa"/>
              <w:end w:w="90" w:type="dxa"/>
            </w:tcMar>
          </w:tcPr>
          <w:p>
            <w:pPr>
              <w:spacing w:after="0"/>
            </w:pPr>
            <w:r>
              <w:rPr>
                <w:sz w:val="14"/>
              </w:rPr>
            </w:r>
            <w:r>
              <w:rPr>
                <w:sz w:val="14"/>
              </w:rPr>
              <w:t>severity, observed value, threshold version/status, failure count, last success</w:t>
            </w:r>
          </w:p>
        </w:tc>
      </w:tr>
      <w:tr>
        <w:tc>
          <w:tcPr>
            <w:tcW w:type="dxa" w:w="2556"/>
            <w:vAlign w:val="center"/>
            <w:tcMar>
              <w:top w:w="80" w:type="dxa"/>
              <w:start w:w="90" w:type="dxa"/>
              <w:bottom w:w="80" w:type="dxa"/>
              <w:end w:w="90" w:type="dxa"/>
            </w:tcMar>
          </w:tcPr>
          <w:p>
            <w:pPr>
              <w:spacing w:after="0"/>
            </w:pPr>
            <w:r>
              <w:rPr>
                <w:sz w:val="14"/>
              </w:rPr>
            </w:r>
            <w:r>
              <w:rPr>
                <w:sz w:val="14"/>
              </w:rPr>
              <w:t>MODEL-007</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mart_security_signal_restricted</w:t>
            </w:r>
          </w:p>
        </w:tc>
        <w:tc>
          <w:tcPr>
            <w:tcW w:type="dxa" w:w="2556"/>
            <w:vAlign w:val="center"/>
            <w:tcMar>
              <w:top w:w="80" w:type="dxa"/>
              <w:start w:w="90" w:type="dxa"/>
              <w:bottom w:w="80" w:type="dxa"/>
              <w:end w:w="90" w:type="dxa"/>
            </w:tcMar>
          </w:tcPr>
          <w:p>
            <w:pPr>
              <w:spacing w:after="0"/>
            </w:pPr>
            <w:r>
              <w:rPr>
                <w:sz w:val="14"/>
              </w:rPr>
            </w:r>
            <w:r>
              <w:rPr>
                <w:sz w:val="14"/>
              </w:rPr>
              <w:t>Security event category × time bucket × tenant scope as authorized</w:t>
            </w:r>
          </w:p>
        </w:tc>
        <w:tc>
          <w:tcPr>
            <w:tcW w:type="dxa" w:w="2556"/>
            <w:vAlign w:val="center"/>
            <w:tcMar>
              <w:top w:w="80" w:type="dxa"/>
              <w:start w:w="90" w:type="dxa"/>
              <w:bottom w:w="80" w:type="dxa"/>
              <w:end w:w="90" w:type="dxa"/>
            </w:tcMar>
          </w:tcPr>
          <w:p>
            <w:pPr>
              <w:spacing w:after="0"/>
            </w:pPr>
            <w:r>
              <w:rPr>
                <w:sz w:val="14"/>
              </w:rPr>
            </w:r>
            <w:r>
              <w:rPr>
                <w:sz w:val="14"/>
              </w:rPr>
              <w:t>count, severity, incident reference, policy version; no raw sensitive payload</w:t>
            </w:r>
          </w:p>
        </w:tc>
      </w:tr>
      <w:tr>
        <w:tc>
          <w:tcPr>
            <w:tcW w:type="dxa" w:w="2556"/>
            <w:vAlign w:val="center"/>
            <w:tcMar>
              <w:top w:w="80" w:type="dxa"/>
              <w:start w:w="90" w:type="dxa"/>
              <w:bottom w:w="80" w:type="dxa"/>
              <w:end w:w="90" w:type="dxa"/>
            </w:tcMar>
          </w:tcPr>
          <w:p>
            <w:pPr>
              <w:spacing w:after="0"/>
            </w:pPr>
            <w:r>
              <w:rPr>
                <w:sz w:val="14"/>
              </w:rPr>
            </w:r>
            <w:r>
              <w:rPr>
                <w:sz w:val="14"/>
              </w:rPr>
              <w:t>MODEL-008</w:t>
            </w:r>
          </w:p>
        </w:tc>
        <w:tc>
          <w:tcPr>
            <w:tcW w:type="dxa" w:w="2556"/>
            <w:vAlign w:val="center"/>
            <w:tcMar>
              <w:top w:w="80" w:type="dxa"/>
              <w:start w:w="90" w:type="dxa"/>
              <w:bottom w:w="80" w:type="dxa"/>
              <w:end w:w="90" w:type="dxa"/>
            </w:tcMar>
          </w:tcPr>
          <w:p>
            <w:pPr>
              <w:spacing w:after="0"/>
            </w:pPr>
            <w:r>
              <w:rPr>
                <w:sz w:val="14"/>
              </w:rPr>
            </w:r>
            <w:r>
              <w:rPr>
                <w:rFonts w:ascii="Consolas" w:hAnsi="Consolas"/>
                <w:sz w:val="14"/>
              </w:rPr>
              <w:t>mart_evidence_continuity</w:t>
            </w:r>
          </w:p>
        </w:tc>
        <w:tc>
          <w:tcPr>
            <w:tcW w:type="dxa" w:w="2556"/>
            <w:vAlign w:val="center"/>
            <w:tcMar>
              <w:top w:w="80" w:type="dxa"/>
              <w:start w:w="90" w:type="dxa"/>
              <w:bottom w:w="80" w:type="dxa"/>
              <w:end w:w="90" w:type="dxa"/>
            </w:tcMar>
          </w:tcPr>
          <w:p>
            <w:pPr>
              <w:spacing w:after="0"/>
            </w:pPr>
            <w:r>
              <w:rPr>
                <w:sz w:val="14"/>
              </w:rPr>
            </w:r>
            <w:r>
              <w:rPr>
                <w:sz w:val="14"/>
              </w:rPr>
              <w:t>Project × evaluation/check version</w:t>
            </w:r>
          </w:p>
        </w:tc>
        <w:tc>
          <w:tcPr>
            <w:tcW w:type="dxa" w:w="2556"/>
            <w:vAlign w:val="center"/>
            <w:tcMar>
              <w:top w:w="80" w:type="dxa"/>
              <w:start w:w="90" w:type="dxa"/>
              <w:bottom w:w="80" w:type="dxa"/>
              <w:end w:w="90" w:type="dxa"/>
            </w:tcMar>
          </w:tcPr>
          <w:p>
            <w:pPr>
              <w:spacing w:after="0"/>
            </w:pPr>
            <w:r>
              <w:rPr>
                <w:sz w:val="14"/>
              </w:rPr>
            </w:r>
            <w:r>
              <w:rPr>
                <w:sz w:val="14"/>
              </w:rPr>
              <w:t>evidence coverage, defect counts by status/severity, sample size and adjudication coverage</w:t>
            </w:r>
          </w:p>
        </w:tc>
      </w:tr>
    </w:tbl>
    <w:p>
      <w:pPr>
        <w:spacing w:after="20"/>
      </w:pPr>
    </w:p>
    <w:p>
      <w:r>
        <w:t xml:space="preserve">Every serving object must carry </w:t>
      </w:r>
      <w:r>
        <w:rPr>
          <w:rFonts w:ascii="Consolas" w:hAnsi="Consolas"/>
          <w:sz w:val="17"/>
        </w:rPr>
        <w:t>model_version</w:t>
      </w:r>
      <w:r>
        <w:t xml:space="preserve"> or transformation version, </w:t>
      </w:r>
      <w:r>
        <w:rPr>
          <w:rFonts w:ascii="Consolas" w:hAnsi="Consolas"/>
          <w:sz w:val="17"/>
        </w:rPr>
        <w:t>built_at</w:t>
      </w:r>
      <w:r>
        <w:t>, source watermark, data-quality status and approved scope. Do not let dashboard tools bypass row-level access policies; serving aggregates must be tested for cross-tenant inference/leakage.</w:t>
      </w:r>
    </w:p>
    <w:p>
      <w:pPr>
        <w:pStyle w:val="Heading1"/>
      </w:pPr>
      <w:r>
        <w:t>12. Data contracts and transformation behavior</w:t>
      </w:r>
    </w:p>
    <w:p>
      <w:pPr>
        <w:pStyle w:val="ListBullet"/>
      </w:pPr>
      <w:r>
        <w:t>Raw events are immutable; validated events are schema checked, classified and deduplicated; modeled facts/dimensions express canonical business meaning; serving objects are dashboard-specific aggregates.</w:t>
      </w:r>
    </w:p>
    <w:p>
      <w:pPr>
        <w:pStyle w:val="ListBullet"/>
      </w:pPr>
      <w:r>
        <w:t>Transformations are idempotent and dependency-aware. A failed upstream model blocks dependent refresh or marks output stale; it must not publish silent zeros.</w:t>
      </w:r>
    </w:p>
    <w:p>
      <w:pPr>
        <w:pStyle w:val="ListBullet"/>
      </w:pPr>
      <w:r>
        <w:t>Late-arriving events trigger bounded event-time reprocessing with transformation version and replay lineage.</w:t>
      </w:r>
    </w:p>
    <w:p>
      <w:pPr>
        <w:pStyle w:val="ListBullet"/>
      </w:pPr>
      <w:r>
        <w:t>Historical metric changes caused by formula/schema changes require backfill or an explicit non-comparable boundary and dashboard annotation.</w:t>
      </w:r>
    </w:p>
    <w:p>
      <w:pPr>
        <w:pStyle w:val="ListBullet"/>
      </w:pPr>
      <w:r>
        <w:t>Fact tables retain event grain. Aggregates must never be joined back to lower-grain tables in ways that multiply counts.</w:t>
      </w:r>
    </w:p>
    <w:p>
      <w:pPr>
        <w:pStyle w:val="ListBullet"/>
      </w:pPr>
      <w:r>
        <w:t>Use effective-dated dimensions for team/role/project classification where historical interpretation depends on it.</w:t>
      </w:r>
    </w:p>
    <w:p>
      <w:pPr>
        <w:pStyle w:val="ListBullet"/>
      </w:pPr>
      <w:r>
        <w:t>Partition/cluster/index strategy depends on actual warehouse and volume. Proposed starting point: partition large event/fact tables by event date and cluster on frequently filtered tenant/project/workflow keys only after workload testing. Do not assert a chosen vendor.</w:t>
      </w:r>
    </w:p>
    <w:p>
      <w:pPr>
        <w:pStyle w:val="Heading1"/>
      </w:pPr>
      <w:r>
        <w:t>13. Access, privacy and retention</w:t>
      </w:r>
    </w:p>
    <w:p>
      <w:pPr>
        <w:pStyle w:val="ListBullet"/>
      </w:pPr>
      <w:r>
        <w:t>Enforce organization/project isolation in source queries, transformation jobs, marts and dashboard row-level policies.</w:t>
      </w:r>
    </w:p>
    <w:p>
      <w:pPr>
        <w:pStyle w:val="ListBullet"/>
      </w:pPr>
      <w:r>
        <w:t>Restrict security, audit, diagnostic and cost data by role and purpose. Content Head and Creative Director remain parallel authority domains under Producer; dashboard access must be mapped to explicit actions, not assumed from titles.</w:t>
      </w:r>
    </w:p>
    <w:p>
      <w:pPr>
        <w:pStyle w:val="ListBullet"/>
      </w:pPr>
      <w:r>
        <w:t>General dashboards use aggregate data and opaque references. Content-bearing drilldowns reauthorize at access time.</w:t>
      </w:r>
    </w:p>
    <w:p>
      <w:pPr>
        <w:pStyle w:val="ListBullet"/>
      </w:pPr>
      <w:r>
        <w:t>Deletion must propagate to analytics copies and derived aggregates according to approved policy; where aggregate removal is not possible immediately, track tombstone/rebuild workflow and avoid claiming completion early.</w:t>
      </w:r>
    </w:p>
    <w:p>
      <w:pPr>
        <w:pStyle w:val="ListBullet"/>
      </w:pPr>
      <w:r>
        <w:t>Retention periods, legal hold, residency, deletion SLA, named owners and dashboard vendor controls remain open approvals.</w:t>
      </w:r>
    </w:p>
    <w:p>
      <w:pPr>
        <w:pStyle w:val="Heading1"/>
      </w:pPr>
      <w:r>
        <w:t>14. Acceptance criteria</w:t>
      </w:r>
    </w:p>
    <w:p>
      <w:pPr>
        <w:pStyle w:val="ListNumber"/>
      </w:pPr>
      <w:r>
        <w:t>Every dashboard metric links to a versioned definition and serving model.</w:t>
      </w:r>
    </w:p>
    <w:p>
      <w:pPr>
        <w:pStyle w:val="ListNumber"/>
      </w:pPr>
      <w:r>
        <w:t>Every panel shows time window, timezone, filters, data freshness and denominator/sample size where applicable.</w:t>
      </w:r>
    </w:p>
    <w:p>
      <w:pPr>
        <w:pStyle w:val="ListNumber"/>
      </w:pPr>
      <w:r>
        <w:t>Empty/missing data is distinguished from true zero and pipeline failure.</w:t>
      </w:r>
    </w:p>
    <w:p>
      <w:pPr>
        <w:pStyle w:val="ListNumber"/>
      </w:pPr>
      <w:r>
        <w:t>Role and project access is enforced server-side/at query layer; direct URLs cannot bypass it.</w:t>
      </w:r>
    </w:p>
    <w:p>
      <w:pPr>
        <w:pStyle w:val="ListNumber"/>
      </w:pPr>
      <w:r>
        <w:t>Tenant/project isolation tests cover aggregates and drilldowns.</w:t>
      </w:r>
    </w:p>
    <w:p>
      <w:pPr>
        <w:pStyle w:val="ListNumber"/>
      </w:pPr>
      <w:r>
        <w:t>Dashboard refresh failure is visible and alerts the data owner.</w:t>
      </w:r>
    </w:p>
    <w:p>
      <w:pPr>
        <w:pStyle w:val="ListNumber"/>
      </w:pPr>
      <w:r>
        <w:t>Backfills and metric definition changes are annotated and reproducible.</w:t>
      </w:r>
    </w:p>
    <w:p>
      <w:pPr>
        <w:pStyle w:val="ListNumber"/>
      </w:pPr>
      <w:r>
        <w:t>Critical security/Canon events are displayed as hard failures, not averaged into health scores.</w:t>
      </w:r>
    </w:p>
    <w:p>
      <w:pPr>
        <w:pStyle w:val="ListNumber"/>
      </w:pPr>
      <w:r>
        <w:t>Raw content is absent from general telemetry and dashboards by default.</w:t>
      </w:r>
    </w:p>
    <w:p>
      <w:pPr>
        <w:pStyle w:val="ListNumber"/>
      </w:pPr>
      <w:r>
        <w:t>Acceptance tests cover normal, negative, duplicate, replay, privacy, access, deletion and late-arrival scenarios.</w:t>
      </w:r>
    </w:p>
    <w:p>
      <w:pPr>
        <w:pStyle w:val="Heading1"/>
      </w:pPr>
      <w:r>
        <w:t>15. Implementation backlog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Mar>
              <w:top w:w="80" w:type="dxa"/>
              <w:start w:w="90" w:type="dxa"/>
              <w:bottom w:w="80" w:type="dxa"/>
              <w:end w:w="90" w:type="dxa"/>
            </w:tcMar>
            <w:shd w:fill="E9EEF5"/>
          </w:tcPr>
          <w:p>
            <w:pPr>
              <w:spacing w:after="0"/>
            </w:pPr>
            <w:r>
              <w:rPr>
                <w:b/>
                <w:color w:val="17365D"/>
                <w:sz w:val="14"/>
              </w:rPr>
            </w:r>
            <w:r>
              <w:rPr>
                <w:b/>
                <w:color w:val="17365D"/>
                <w:sz w:val="14"/>
              </w:rPr>
              <w:t>Task ID</w:t>
            </w:r>
          </w:p>
        </w:tc>
        <w:tc>
          <w:tcPr>
            <w:tcW w:type="dxa" w:w="2045"/>
            <w:vAlign w:val="center"/>
            <w:tcMar>
              <w:top w:w="80" w:type="dxa"/>
              <w:start w:w="90" w:type="dxa"/>
              <w:bottom w:w="80" w:type="dxa"/>
              <w:end w:w="90" w:type="dxa"/>
            </w:tcMar>
            <w:shd w:fill="E9EEF5"/>
          </w:tcPr>
          <w:p>
            <w:pPr>
              <w:spacing w:after="0"/>
            </w:pPr>
            <w:r>
              <w:rPr>
                <w:b/>
                <w:color w:val="17365D"/>
                <w:sz w:val="14"/>
              </w:rPr>
            </w:r>
            <w:r>
              <w:rPr>
                <w:b/>
                <w:color w:val="17365D"/>
                <w:sz w:val="14"/>
              </w:rPr>
              <w:t>Priority</w:t>
            </w:r>
          </w:p>
        </w:tc>
        <w:tc>
          <w:tcPr>
            <w:tcW w:type="dxa" w:w="2045"/>
            <w:vAlign w:val="center"/>
            <w:tcMar>
              <w:top w:w="80" w:type="dxa"/>
              <w:start w:w="90" w:type="dxa"/>
              <w:bottom w:w="80" w:type="dxa"/>
              <w:end w:w="90" w:type="dxa"/>
            </w:tcMar>
            <w:shd w:fill="E9EEF5"/>
          </w:tcPr>
          <w:p>
            <w:pPr>
              <w:spacing w:after="0"/>
            </w:pPr>
            <w:r>
              <w:rPr>
                <w:b/>
                <w:color w:val="17365D"/>
                <w:sz w:val="14"/>
              </w:rPr>
            </w:r>
            <w:r>
              <w:rPr>
                <w:b/>
                <w:color w:val="17365D"/>
                <w:sz w:val="14"/>
              </w:rPr>
              <w:t>Work</w:t>
            </w:r>
          </w:p>
        </w:tc>
        <w:tc>
          <w:tcPr>
            <w:tcW w:type="dxa" w:w="2045"/>
            <w:vAlign w:val="center"/>
            <w:tcMar>
              <w:top w:w="80" w:type="dxa"/>
              <w:start w:w="90" w:type="dxa"/>
              <w:bottom w:w="80" w:type="dxa"/>
              <w:end w:w="90" w:type="dxa"/>
            </w:tcMar>
            <w:shd w:fill="E9EEF5"/>
          </w:tcPr>
          <w:p>
            <w:pPr>
              <w:spacing w:after="0"/>
            </w:pPr>
            <w:r>
              <w:rPr>
                <w:b/>
                <w:color w:val="17365D"/>
                <w:sz w:val="14"/>
              </w:rPr>
            </w:r>
            <w:r>
              <w:rPr>
                <w:b/>
                <w:color w:val="17365D"/>
                <w:sz w:val="14"/>
              </w:rPr>
              <w:t>Dependencies</w:t>
            </w:r>
          </w:p>
        </w:tc>
        <w:tc>
          <w:tcPr>
            <w:tcW w:type="dxa" w:w="2045"/>
            <w:vAlign w:val="center"/>
            <w:tcMar>
              <w:top w:w="80" w:type="dxa"/>
              <w:start w:w="90" w:type="dxa"/>
              <w:bottom w:w="80" w:type="dxa"/>
              <w:end w:w="90" w:type="dxa"/>
            </w:tcMar>
            <w:shd w:fill="E9EEF5"/>
          </w:tcPr>
          <w:p>
            <w:pPr>
              <w:spacing w:after="0"/>
            </w:pPr>
            <w:r>
              <w:rPr>
                <w:b/>
                <w:color w:val="17365D"/>
                <w:sz w:val="14"/>
              </w:rPr>
            </w:r>
            <w:r>
              <w:rPr>
                <w:b/>
                <w:color w:val="17365D"/>
                <w:sz w:val="14"/>
              </w:rPr>
              <w:t>Acceptance criteria</w:t>
            </w:r>
          </w:p>
        </w:tc>
      </w:tr>
      <w:tr>
        <w:tc>
          <w:tcPr>
            <w:tcW w:type="dxa" w:w="2045"/>
            <w:vAlign w:val="center"/>
            <w:tcMar>
              <w:top w:w="80" w:type="dxa"/>
              <w:start w:w="90" w:type="dxa"/>
              <w:bottom w:w="80" w:type="dxa"/>
              <w:end w:w="90" w:type="dxa"/>
            </w:tcMar>
          </w:tcPr>
          <w:p>
            <w:pPr>
              <w:spacing w:after="0"/>
            </w:pPr>
            <w:r>
              <w:rPr>
                <w:sz w:val="14"/>
              </w:rPr>
            </w:r>
            <w:r>
              <w:rPr>
                <w:sz w:val="14"/>
              </w:rPr>
              <w:t>DSH-T001</w:t>
            </w:r>
          </w:p>
        </w:tc>
        <w:tc>
          <w:tcPr>
            <w:tcW w:type="dxa" w:w="2045"/>
            <w:vAlign w:val="center"/>
            <w:tcMar>
              <w:top w:w="80" w:type="dxa"/>
              <w:start w:w="90" w:type="dxa"/>
              <w:bottom w:w="80" w:type="dxa"/>
              <w:end w:w="90" w:type="dxa"/>
            </w:tcMar>
          </w:tcPr>
          <w:p>
            <w:pPr>
              <w:spacing w:after="0"/>
            </w:pPr>
            <w:r>
              <w:rPr>
                <w:sz w:val="14"/>
              </w:rPr>
            </w:r>
            <w:r>
              <w:rPr>
                <w:sz w:val="14"/>
              </w:rPr>
              <w:t>P0</w:t>
            </w:r>
          </w:p>
        </w:tc>
        <w:tc>
          <w:tcPr>
            <w:tcW w:type="dxa" w:w="2045"/>
            <w:vAlign w:val="center"/>
            <w:tcMar>
              <w:top w:w="80" w:type="dxa"/>
              <w:start w:w="90" w:type="dxa"/>
              <w:bottom w:w="80" w:type="dxa"/>
              <w:end w:w="90" w:type="dxa"/>
            </w:tcMar>
          </w:tcPr>
          <w:p>
            <w:pPr>
              <w:spacing w:after="0"/>
            </w:pPr>
            <w:r>
              <w:rPr>
                <w:sz w:val="14"/>
              </w:rPr>
            </w:r>
            <w:r>
              <w:rPr>
                <w:sz w:val="14"/>
              </w:rPr>
              <w:t>Build NSM serving model</w:t>
            </w:r>
          </w:p>
        </w:tc>
        <w:tc>
          <w:tcPr>
            <w:tcW w:type="dxa" w:w="2045"/>
            <w:vAlign w:val="center"/>
            <w:tcMar>
              <w:top w:w="80" w:type="dxa"/>
              <w:start w:w="90" w:type="dxa"/>
              <w:bottom w:w="80" w:type="dxa"/>
              <w:end w:w="90" w:type="dxa"/>
            </w:tcMar>
          </w:tcPr>
          <w:p>
            <w:pPr>
              <w:spacing w:after="0"/>
            </w:pPr>
            <w:r>
              <w:rPr>
                <w:sz w:val="14"/>
              </w:rPr>
            </w:r>
            <w:r>
              <w:rPr>
                <w:sz w:val="14"/>
              </w:rPr>
              <w:t>authoritative milestone events and package completeness</w:t>
            </w:r>
          </w:p>
        </w:tc>
        <w:tc>
          <w:tcPr>
            <w:tcW w:type="dxa" w:w="2045"/>
            <w:vAlign w:val="center"/>
            <w:tcMar>
              <w:top w:w="80" w:type="dxa"/>
              <w:start w:w="90" w:type="dxa"/>
              <w:bottom w:w="80" w:type="dxa"/>
              <w:end w:w="90" w:type="dxa"/>
            </w:tcMar>
          </w:tcPr>
          <w:p>
            <w:pPr>
              <w:spacing w:after="0"/>
            </w:pPr>
            <w:r>
              <w:rPr>
                <w:sz w:val="14"/>
              </w:rPr>
            </w:r>
            <w:r>
              <w:rPr>
                <w:sz w:val="14"/>
              </w:rPr>
              <w:t>time calculation reproducible; incomplete projects visible</w:t>
            </w:r>
          </w:p>
        </w:tc>
      </w:tr>
      <w:tr>
        <w:tc>
          <w:tcPr>
            <w:tcW w:type="dxa" w:w="2045"/>
            <w:vAlign w:val="center"/>
            <w:tcMar>
              <w:top w:w="80" w:type="dxa"/>
              <w:start w:w="90" w:type="dxa"/>
              <w:bottom w:w="80" w:type="dxa"/>
              <w:end w:w="90" w:type="dxa"/>
            </w:tcMar>
          </w:tcPr>
          <w:p>
            <w:pPr>
              <w:spacing w:after="0"/>
            </w:pPr>
            <w:r>
              <w:rPr>
                <w:sz w:val="14"/>
              </w:rPr>
            </w:r>
            <w:r>
              <w:rPr>
                <w:sz w:val="14"/>
              </w:rPr>
              <w:t>DSH-T002</w:t>
            </w:r>
          </w:p>
        </w:tc>
        <w:tc>
          <w:tcPr>
            <w:tcW w:type="dxa" w:w="2045"/>
            <w:vAlign w:val="center"/>
            <w:tcMar>
              <w:top w:w="80" w:type="dxa"/>
              <w:start w:w="90" w:type="dxa"/>
              <w:bottom w:w="80" w:type="dxa"/>
              <w:end w:w="90" w:type="dxa"/>
            </w:tcMar>
          </w:tcPr>
          <w:p>
            <w:pPr>
              <w:spacing w:after="0"/>
            </w:pPr>
            <w:r>
              <w:rPr>
                <w:sz w:val="14"/>
              </w:rPr>
            </w:r>
            <w:r>
              <w:rPr>
                <w:sz w:val="14"/>
              </w:rPr>
              <w:t>P0</w:t>
            </w:r>
          </w:p>
        </w:tc>
        <w:tc>
          <w:tcPr>
            <w:tcW w:type="dxa" w:w="2045"/>
            <w:vAlign w:val="center"/>
            <w:tcMar>
              <w:top w:w="80" w:type="dxa"/>
              <w:start w:w="90" w:type="dxa"/>
              <w:bottom w:w="80" w:type="dxa"/>
              <w:end w:w="90" w:type="dxa"/>
            </w:tcMar>
          </w:tcPr>
          <w:p>
            <w:pPr>
              <w:spacing w:after="0"/>
            </w:pPr>
            <w:r>
              <w:rPr>
                <w:sz w:val="14"/>
              </w:rPr>
            </w:r>
            <w:r>
              <w:rPr>
                <w:sz w:val="14"/>
              </w:rPr>
              <w:t>Implement row/project access tests</w:t>
            </w:r>
          </w:p>
        </w:tc>
        <w:tc>
          <w:tcPr>
            <w:tcW w:type="dxa" w:w="2045"/>
            <w:vAlign w:val="center"/>
            <w:tcMar>
              <w:top w:w="80" w:type="dxa"/>
              <w:start w:w="90" w:type="dxa"/>
              <w:bottom w:w="80" w:type="dxa"/>
              <w:end w:w="90" w:type="dxa"/>
            </w:tcMar>
          </w:tcPr>
          <w:p>
            <w:pPr>
              <w:spacing w:after="0"/>
            </w:pPr>
            <w:r>
              <w:rPr>
                <w:sz w:val="14"/>
              </w:rPr>
            </w:r>
            <w:r>
              <w:rPr>
                <w:sz w:val="14"/>
              </w:rPr>
              <w:t>IAM and tenant scope</w:t>
            </w:r>
          </w:p>
        </w:tc>
        <w:tc>
          <w:tcPr>
            <w:tcW w:type="dxa" w:w="2045"/>
            <w:vAlign w:val="center"/>
            <w:tcMar>
              <w:top w:w="80" w:type="dxa"/>
              <w:start w:w="90" w:type="dxa"/>
              <w:bottom w:w="80" w:type="dxa"/>
              <w:end w:w="90" w:type="dxa"/>
            </w:tcMar>
          </w:tcPr>
          <w:p>
            <w:pPr>
              <w:spacing w:after="0"/>
            </w:pPr>
            <w:r>
              <w:rPr>
                <w:sz w:val="14"/>
              </w:rPr>
            </w:r>
            <w:r>
              <w:rPr>
                <w:sz w:val="14"/>
              </w:rPr>
              <w:t>unauthorized aggregate/drilldown access denied</w:t>
            </w:r>
          </w:p>
        </w:tc>
      </w:tr>
      <w:tr>
        <w:tc>
          <w:tcPr>
            <w:tcW w:type="dxa" w:w="2045"/>
            <w:vAlign w:val="center"/>
            <w:tcMar>
              <w:top w:w="80" w:type="dxa"/>
              <w:start w:w="90" w:type="dxa"/>
              <w:bottom w:w="80" w:type="dxa"/>
              <w:end w:w="90" w:type="dxa"/>
            </w:tcMar>
          </w:tcPr>
          <w:p>
            <w:pPr>
              <w:spacing w:after="0"/>
            </w:pPr>
            <w:r>
              <w:rPr>
                <w:sz w:val="14"/>
              </w:rPr>
            </w:r>
            <w:r>
              <w:rPr>
                <w:sz w:val="14"/>
              </w:rPr>
              <w:t>DSH-T003</w:t>
            </w:r>
          </w:p>
        </w:tc>
        <w:tc>
          <w:tcPr>
            <w:tcW w:type="dxa" w:w="2045"/>
            <w:vAlign w:val="center"/>
            <w:tcMar>
              <w:top w:w="80" w:type="dxa"/>
              <w:start w:w="90" w:type="dxa"/>
              <w:bottom w:w="80" w:type="dxa"/>
              <w:end w:w="90" w:type="dxa"/>
            </w:tcMar>
          </w:tcPr>
          <w:p>
            <w:pPr>
              <w:spacing w:after="0"/>
            </w:pPr>
            <w:r>
              <w:rPr>
                <w:sz w:val="14"/>
              </w:rPr>
            </w:r>
            <w:r>
              <w:rPr>
                <w:sz w:val="14"/>
              </w:rPr>
              <w:t>P0</w:t>
            </w:r>
          </w:p>
        </w:tc>
        <w:tc>
          <w:tcPr>
            <w:tcW w:type="dxa" w:w="2045"/>
            <w:vAlign w:val="center"/>
            <w:tcMar>
              <w:top w:w="80" w:type="dxa"/>
              <w:start w:w="90" w:type="dxa"/>
              <w:bottom w:w="80" w:type="dxa"/>
              <w:end w:w="90" w:type="dxa"/>
            </w:tcMar>
          </w:tcPr>
          <w:p>
            <w:pPr>
              <w:spacing w:after="0"/>
            </w:pPr>
            <w:r>
              <w:rPr>
                <w:sz w:val="14"/>
              </w:rPr>
            </w:r>
            <w:r>
              <w:rPr>
                <w:sz w:val="14"/>
              </w:rPr>
              <w:t>Build restricted security signal view</w:t>
            </w:r>
          </w:p>
        </w:tc>
        <w:tc>
          <w:tcPr>
            <w:tcW w:type="dxa" w:w="2045"/>
            <w:vAlign w:val="center"/>
            <w:tcMar>
              <w:top w:w="80" w:type="dxa"/>
              <w:start w:w="90" w:type="dxa"/>
              <w:bottom w:w="80" w:type="dxa"/>
              <w:end w:w="90" w:type="dxa"/>
            </w:tcMar>
          </w:tcPr>
          <w:p>
            <w:pPr>
              <w:spacing w:after="0"/>
            </w:pPr>
            <w:r>
              <w:rPr>
                <w:sz w:val="14"/>
              </w:rPr>
            </w:r>
            <w:r>
              <w:rPr>
                <w:sz w:val="14"/>
              </w:rPr>
              <w:t>security events and audit correlation</w:t>
            </w:r>
          </w:p>
        </w:tc>
        <w:tc>
          <w:tcPr>
            <w:tcW w:type="dxa" w:w="2045"/>
            <w:vAlign w:val="center"/>
            <w:tcMar>
              <w:top w:w="80" w:type="dxa"/>
              <w:start w:w="90" w:type="dxa"/>
              <w:bottom w:w="80" w:type="dxa"/>
              <w:end w:w="90" w:type="dxa"/>
            </w:tcMar>
          </w:tcPr>
          <w:p>
            <w:pPr>
              <w:spacing w:after="0"/>
            </w:pPr>
            <w:r>
              <w:rPr>
                <w:sz w:val="14"/>
              </w:rPr>
            </w:r>
            <w:r>
              <w:rPr>
                <w:sz w:val="14"/>
              </w:rPr>
              <w:t>no raw secrets/content; critical signals visible to authorized roles</w:t>
            </w:r>
          </w:p>
        </w:tc>
      </w:tr>
      <w:tr>
        <w:tc>
          <w:tcPr>
            <w:tcW w:type="dxa" w:w="2045"/>
            <w:vAlign w:val="center"/>
            <w:tcMar>
              <w:top w:w="80" w:type="dxa"/>
              <w:start w:w="90" w:type="dxa"/>
              <w:bottom w:w="80" w:type="dxa"/>
              <w:end w:w="90" w:type="dxa"/>
            </w:tcMar>
          </w:tcPr>
          <w:p>
            <w:pPr>
              <w:spacing w:after="0"/>
            </w:pPr>
            <w:r>
              <w:rPr>
                <w:sz w:val="14"/>
              </w:rPr>
            </w:r>
            <w:r>
              <w:rPr>
                <w:sz w:val="14"/>
              </w:rPr>
              <w:t>DSH-T004</w:t>
            </w:r>
          </w:p>
        </w:tc>
        <w:tc>
          <w:tcPr>
            <w:tcW w:type="dxa" w:w="2045"/>
            <w:vAlign w:val="center"/>
            <w:tcMar>
              <w:top w:w="80" w:type="dxa"/>
              <w:start w:w="90" w:type="dxa"/>
              <w:bottom w:w="80" w:type="dxa"/>
              <w:end w:w="90" w:type="dxa"/>
            </w:tcMar>
          </w:tcPr>
          <w:p>
            <w:pPr>
              <w:spacing w:after="0"/>
            </w:pPr>
            <w:r>
              <w:rPr>
                <w:sz w:val="14"/>
              </w:rPr>
            </w:r>
            <w:r>
              <w:rPr>
                <w:sz w:val="14"/>
              </w:rPr>
              <w:t>P1</w:t>
            </w:r>
          </w:p>
        </w:tc>
        <w:tc>
          <w:tcPr>
            <w:tcW w:type="dxa" w:w="2045"/>
            <w:vAlign w:val="center"/>
            <w:tcMar>
              <w:top w:w="80" w:type="dxa"/>
              <w:start w:w="90" w:type="dxa"/>
              <w:bottom w:w="80" w:type="dxa"/>
              <w:end w:w="90" w:type="dxa"/>
            </w:tcMar>
          </w:tcPr>
          <w:p>
            <w:pPr>
              <w:spacing w:after="0"/>
            </w:pPr>
            <w:r>
              <w:rPr>
                <w:sz w:val="14"/>
              </w:rPr>
            </w:r>
            <w:r>
              <w:rPr>
                <w:sz w:val="14"/>
              </w:rPr>
              <w:t>Build workflow funnel dashboard</w:t>
            </w:r>
          </w:p>
        </w:tc>
        <w:tc>
          <w:tcPr>
            <w:tcW w:type="dxa" w:w="2045"/>
            <w:vAlign w:val="center"/>
            <w:tcMar>
              <w:top w:w="80" w:type="dxa"/>
              <w:start w:w="90" w:type="dxa"/>
              <w:bottom w:w="80" w:type="dxa"/>
              <w:end w:w="90" w:type="dxa"/>
            </w:tcMar>
          </w:tcPr>
          <w:p>
            <w:pPr>
              <w:spacing w:after="0"/>
            </w:pPr>
            <w:r>
              <w:rPr>
                <w:sz w:val="14"/>
              </w:rPr>
            </w:r>
            <w:r>
              <w:rPr>
                <w:sz w:val="14"/>
              </w:rPr>
              <w:t>workflow milestone model</w:t>
            </w:r>
          </w:p>
        </w:tc>
        <w:tc>
          <w:tcPr>
            <w:tcW w:type="dxa" w:w="2045"/>
            <w:vAlign w:val="center"/>
            <w:tcMar>
              <w:top w:w="80" w:type="dxa"/>
              <w:start w:w="90" w:type="dxa"/>
              <w:bottom w:w="80" w:type="dxa"/>
              <w:end w:w="90" w:type="dxa"/>
            </w:tcMar>
          </w:tcPr>
          <w:p>
            <w:pPr>
              <w:spacing w:after="0"/>
            </w:pPr>
            <w:r>
              <w:rPr>
                <w:sz w:val="14"/>
              </w:rPr>
            </w:r>
            <w:r>
              <w:rPr>
                <w:sz w:val="14"/>
              </w:rPr>
              <w:t>stage denominators and aging definitions visible</w:t>
            </w:r>
          </w:p>
        </w:tc>
      </w:tr>
      <w:tr>
        <w:tc>
          <w:tcPr>
            <w:tcW w:type="dxa" w:w="2045"/>
            <w:vAlign w:val="center"/>
            <w:tcMar>
              <w:top w:w="80" w:type="dxa"/>
              <w:start w:w="90" w:type="dxa"/>
              <w:bottom w:w="80" w:type="dxa"/>
              <w:end w:w="90" w:type="dxa"/>
            </w:tcMar>
          </w:tcPr>
          <w:p>
            <w:pPr>
              <w:spacing w:after="0"/>
            </w:pPr>
            <w:r>
              <w:rPr>
                <w:sz w:val="14"/>
              </w:rPr>
            </w:r>
            <w:r>
              <w:rPr>
                <w:sz w:val="14"/>
              </w:rPr>
              <w:t>DSH-T005</w:t>
            </w:r>
          </w:p>
        </w:tc>
        <w:tc>
          <w:tcPr>
            <w:tcW w:type="dxa" w:w="2045"/>
            <w:vAlign w:val="center"/>
            <w:tcMar>
              <w:top w:w="80" w:type="dxa"/>
              <w:start w:w="90" w:type="dxa"/>
              <w:bottom w:w="80" w:type="dxa"/>
              <w:end w:w="90" w:type="dxa"/>
            </w:tcMar>
          </w:tcPr>
          <w:p>
            <w:pPr>
              <w:spacing w:after="0"/>
            </w:pPr>
            <w:r>
              <w:rPr>
                <w:sz w:val="14"/>
              </w:rPr>
            </w:r>
            <w:r>
              <w:rPr>
                <w:sz w:val="14"/>
              </w:rPr>
              <w:t>P1</w:t>
            </w:r>
          </w:p>
        </w:tc>
        <w:tc>
          <w:tcPr>
            <w:tcW w:type="dxa" w:w="2045"/>
            <w:vAlign w:val="center"/>
            <w:tcMar>
              <w:top w:w="80" w:type="dxa"/>
              <w:start w:w="90" w:type="dxa"/>
              <w:bottom w:w="80" w:type="dxa"/>
              <w:end w:w="90" w:type="dxa"/>
            </w:tcMar>
          </w:tcPr>
          <w:p>
            <w:pPr>
              <w:spacing w:after="0"/>
            </w:pPr>
            <w:r>
              <w:rPr>
                <w:sz w:val="14"/>
              </w:rPr>
            </w:r>
            <w:r>
              <w:rPr>
                <w:sz w:val="14"/>
              </w:rPr>
              <w:t>Build AI run health dashboard</w:t>
            </w:r>
          </w:p>
        </w:tc>
        <w:tc>
          <w:tcPr>
            <w:tcW w:type="dxa" w:w="2045"/>
            <w:vAlign w:val="center"/>
            <w:tcMar>
              <w:top w:w="80" w:type="dxa"/>
              <w:start w:w="90" w:type="dxa"/>
              <w:bottom w:w="80" w:type="dxa"/>
              <w:end w:w="90" w:type="dxa"/>
            </w:tcMar>
          </w:tcPr>
          <w:p>
            <w:pPr>
              <w:spacing w:after="0"/>
            </w:pPr>
            <w:r>
              <w:rPr>
                <w:sz w:val="14"/>
              </w:rPr>
            </w:r>
            <w:r>
              <w:rPr>
                <w:sz w:val="14"/>
              </w:rPr>
              <w:t>AI telemetry marts</w:t>
            </w:r>
          </w:p>
        </w:tc>
        <w:tc>
          <w:tcPr>
            <w:tcW w:type="dxa" w:w="2045"/>
            <w:vAlign w:val="center"/>
            <w:tcMar>
              <w:top w:w="80" w:type="dxa"/>
              <w:start w:w="90" w:type="dxa"/>
              <w:bottom w:w="80" w:type="dxa"/>
              <w:end w:w="90" w:type="dxa"/>
            </w:tcMar>
          </w:tcPr>
          <w:p>
            <w:pPr>
              <w:spacing w:after="0"/>
            </w:pPr>
            <w:r>
              <w:rPr>
                <w:sz w:val="14"/>
              </w:rPr>
            </w:r>
            <w:r>
              <w:rPr>
                <w:sz w:val="14"/>
              </w:rPr>
              <w:t>status/latency/retry/freshness visible with no content logging</w:t>
            </w:r>
          </w:p>
        </w:tc>
      </w:tr>
      <w:tr>
        <w:tc>
          <w:tcPr>
            <w:tcW w:type="dxa" w:w="2045"/>
            <w:vAlign w:val="center"/>
            <w:tcMar>
              <w:top w:w="80" w:type="dxa"/>
              <w:start w:w="90" w:type="dxa"/>
              <w:bottom w:w="80" w:type="dxa"/>
              <w:end w:w="90" w:type="dxa"/>
            </w:tcMar>
          </w:tcPr>
          <w:p>
            <w:pPr>
              <w:spacing w:after="0"/>
            </w:pPr>
            <w:r>
              <w:rPr>
                <w:sz w:val="14"/>
              </w:rPr>
            </w:r>
            <w:r>
              <w:rPr>
                <w:sz w:val="14"/>
              </w:rPr>
              <w:t>DSH-T006</w:t>
            </w:r>
          </w:p>
        </w:tc>
        <w:tc>
          <w:tcPr>
            <w:tcW w:type="dxa" w:w="2045"/>
            <w:vAlign w:val="center"/>
            <w:tcMar>
              <w:top w:w="80" w:type="dxa"/>
              <w:start w:w="90" w:type="dxa"/>
              <w:bottom w:w="80" w:type="dxa"/>
              <w:end w:w="90" w:type="dxa"/>
            </w:tcMar>
          </w:tcPr>
          <w:p>
            <w:pPr>
              <w:spacing w:after="0"/>
            </w:pPr>
            <w:r>
              <w:rPr>
                <w:sz w:val="14"/>
              </w:rPr>
            </w:r>
            <w:r>
              <w:rPr>
                <w:sz w:val="14"/>
              </w:rPr>
              <w:t>P1</w:t>
            </w:r>
          </w:p>
        </w:tc>
        <w:tc>
          <w:tcPr>
            <w:tcW w:type="dxa" w:w="2045"/>
            <w:vAlign w:val="center"/>
            <w:tcMar>
              <w:top w:w="80" w:type="dxa"/>
              <w:start w:w="90" w:type="dxa"/>
              <w:bottom w:w="80" w:type="dxa"/>
              <w:end w:w="90" w:type="dxa"/>
            </w:tcMar>
          </w:tcPr>
          <w:p>
            <w:pPr>
              <w:spacing w:after="0"/>
            </w:pPr>
            <w:r>
              <w:rPr>
                <w:sz w:val="14"/>
              </w:rPr>
            </w:r>
            <w:r>
              <w:rPr>
                <w:sz w:val="14"/>
              </w:rPr>
              <w:t>Build evaluation regression dashboard</w:t>
            </w:r>
          </w:p>
        </w:tc>
        <w:tc>
          <w:tcPr>
            <w:tcW w:type="dxa" w:w="2045"/>
            <w:vAlign w:val="center"/>
            <w:tcMar>
              <w:top w:w="80" w:type="dxa"/>
              <w:start w:w="90" w:type="dxa"/>
              <w:bottom w:w="80" w:type="dxa"/>
              <w:end w:w="90" w:type="dxa"/>
            </w:tcMar>
          </w:tcPr>
          <w:p>
            <w:pPr>
              <w:spacing w:after="0"/>
            </w:pPr>
            <w:r>
              <w:rPr>
                <w:sz w:val="14"/>
              </w:rPr>
            </w:r>
            <w:r>
              <w:rPr>
                <w:sz w:val="14"/>
              </w:rPr>
              <w:t>evaluation result model</w:t>
            </w:r>
          </w:p>
        </w:tc>
        <w:tc>
          <w:tcPr>
            <w:tcW w:type="dxa" w:w="2045"/>
            <w:vAlign w:val="center"/>
            <w:tcMar>
              <w:top w:w="80" w:type="dxa"/>
              <w:start w:w="90" w:type="dxa"/>
              <w:bottom w:w="80" w:type="dxa"/>
              <w:end w:w="90" w:type="dxa"/>
            </w:tcMar>
          </w:tcPr>
          <w:p>
            <w:pPr>
              <w:spacing w:after="0"/>
            </w:pPr>
            <w:r>
              <w:rPr>
                <w:sz w:val="14"/>
              </w:rPr>
            </w:r>
            <w:r>
              <w:rPr>
                <w:sz w:val="14"/>
              </w:rPr>
              <w:t>version-matched comparisons; Not Run visible</w:t>
            </w:r>
          </w:p>
        </w:tc>
      </w:tr>
      <w:tr>
        <w:tc>
          <w:tcPr>
            <w:tcW w:type="dxa" w:w="2045"/>
            <w:vAlign w:val="center"/>
            <w:tcMar>
              <w:top w:w="80" w:type="dxa"/>
              <w:start w:w="90" w:type="dxa"/>
              <w:bottom w:w="80" w:type="dxa"/>
              <w:end w:w="90" w:type="dxa"/>
            </w:tcMar>
          </w:tcPr>
          <w:p>
            <w:pPr>
              <w:spacing w:after="0"/>
            </w:pPr>
            <w:r>
              <w:rPr>
                <w:sz w:val="14"/>
              </w:rPr>
            </w:r>
            <w:r>
              <w:rPr>
                <w:sz w:val="14"/>
              </w:rPr>
              <w:t>DSH-T007</w:t>
            </w:r>
          </w:p>
        </w:tc>
        <w:tc>
          <w:tcPr>
            <w:tcW w:type="dxa" w:w="2045"/>
            <w:vAlign w:val="center"/>
            <w:tcMar>
              <w:top w:w="80" w:type="dxa"/>
              <w:start w:w="90" w:type="dxa"/>
              <w:bottom w:w="80" w:type="dxa"/>
              <w:end w:w="90" w:type="dxa"/>
            </w:tcMar>
          </w:tcPr>
          <w:p>
            <w:pPr>
              <w:spacing w:after="0"/>
            </w:pPr>
            <w:r>
              <w:rPr>
                <w:sz w:val="14"/>
              </w:rPr>
            </w:r>
            <w:r>
              <w:rPr>
                <w:sz w:val="14"/>
              </w:rPr>
              <w:t>P1</w:t>
            </w:r>
          </w:p>
        </w:tc>
        <w:tc>
          <w:tcPr>
            <w:tcW w:type="dxa" w:w="2045"/>
            <w:vAlign w:val="center"/>
            <w:tcMar>
              <w:top w:w="80" w:type="dxa"/>
              <w:start w:w="90" w:type="dxa"/>
              <w:bottom w:w="80" w:type="dxa"/>
              <w:end w:w="90" w:type="dxa"/>
            </w:tcMar>
          </w:tcPr>
          <w:p>
            <w:pPr>
              <w:spacing w:after="0"/>
            </w:pPr>
            <w:r>
              <w:rPr>
                <w:sz w:val="14"/>
              </w:rPr>
            </w:r>
            <w:r>
              <w:rPr>
                <w:sz w:val="14"/>
              </w:rPr>
              <w:t>Build cost attribution view</w:t>
            </w:r>
          </w:p>
        </w:tc>
        <w:tc>
          <w:tcPr>
            <w:tcW w:type="dxa" w:w="2045"/>
            <w:vAlign w:val="center"/>
            <w:tcMar>
              <w:top w:w="80" w:type="dxa"/>
              <w:start w:w="90" w:type="dxa"/>
              <w:bottom w:w="80" w:type="dxa"/>
              <w:end w:w="90" w:type="dxa"/>
            </w:tcMar>
          </w:tcPr>
          <w:p>
            <w:pPr>
              <w:spacing w:after="0"/>
            </w:pPr>
            <w:r>
              <w:rPr>
                <w:sz w:val="14"/>
              </w:rPr>
            </w:r>
            <w:r>
              <w:rPr>
                <w:sz w:val="14"/>
              </w:rPr>
              <w:t>provider usage/pricing version</w:t>
            </w:r>
          </w:p>
        </w:tc>
        <w:tc>
          <w:tcPr>
            <w:tcW w:type="dxa" w:w="2045"/>
            <w:vAlign w:val="center"/>
            <w:tcMar>
              <w:top w:w="80" w:type="dxa"/>
              <w:start w:w="90" w:type="dxa"/>
              <w:bottom w:w="80" w:type="dxa"/>
              <w:end w:w="90" w:type="dxa"/>
            </w:tcMar>
          </w:tcPr>
          <w:p>
            <w:pPr>
              <w:spacing w:after="0"/>
            </w:pPr>
            <w:r>
              <w:rPr>
                <w:sz w:val="14"/>
              </w:rPr>
            </w:r>
            <w:r>
              <w:rPr>
                <w:sz w:val="14"/>
              </w:rPr>
              <w:t>actual/estimated/unavailable separated; coverage visible</w:t>
            </w:r>
          </w:p>
        </w:tc>
      </w:tr>
      <w:tr>
        <w:tc>
          <w:tcPr>
            <w:tcW w:type="dxa" w:w="2045"/>
            <w:vAlign w:val="center"/>
            <w:tcMar>
              <w:top w:w="80" w:type="dxa"/>
              <w:start w:w="90" w:type="dxa"/>
              <w:bottom w:w="80" w:type="dxa"/>
              <w:end w:w="90" w:type="dxa"/>
            </w:tcMar>
          </w:tcPr>
          <w:p>
            <w:pPr>
              <w:spacing w:after="0"/>
            </w:pPr>
            <w:r>
              <w:rPr>
                <w:sz w:val="14"/>
              </w:rPr>
            </w:r>
            <w:r>
              <w:rPr>
                <w:sz w:val="14"/>
              </w:rPr>
              <w:t>DSH-T008</w:t>
            </w:r>
          </w:p>
        </w:tc>
        <w:tc>
          <w:tcPr>
            <w:tcW w:type="dxa" w:w="2045"/>
            <w:vAlign w:val="center"/>
            <w:tcMar>
              <w:top w:w="80" w:type="dxa"/>
              <w:start w:w="90" w:type="dxa"/>
              <w:bottom w:w="80" w:type="dxa"/>
              <w:end w:w="90" w:type="dxa"/>
            </w:tcMar>
          </w:tcPr>
          <w:p>
            <w:pPr>
              <w:spacing w:after="0"/>
            </w:pPr>
            <w:r>
              <w:rPr>
                <w:sz w:val="14"/>
              </w:rPr>
            </w:r>
            <w:r>
              <w:rPr>
                <w:sz w:val="14"/>
              </w:rPr>
              <w:t>P1</w:t>
            </w:r>
          </w:p>
        </w:tc>
        <w:tc>
          <w:tcPr>
            <w:tcW w:type="dxa" w:w="2045"/>
            <w:vAlign w:val="center"/>
            <w:tcMar>
              <w:top w:w="80" w:type="dxa"/>
              <w:start w:w="90" w:type="dxa"/>
              <w:bottom w:w="80" w:type="dxa"/>
              <w:end w:w="90" w:type="dxa"/>
            </w:tcMar>
          </w:tcPr>
          <w:p>
            <w:pPr>
              <w:spacing w:after="0"/>
            </w:pPr>
            <w:r>
              <w:rPr>
                <w:sz w:val="14"/>
              </w:rPr>
            </w:r>
            <w:r>
              <w:rPr>
                <w:sz w:val="14"/>
              </w:rPr>
              <w:t>Build data quality dashboard/alerts</w:t>
            </w:r>
          </w:p>
        </w:tc>
        <w:tc>
          <w:tcPr>
            <w:tcW w:type="dxa" w:w="2045"/>
            <w:vAlign w:val="center"/>
            <w:tcMar>
              <w:top w:w="80" w:type="dxa"/>
              <w:start w:w="90" w:type="dxa"/>
              <w:bottom w:w="80" w:type="dxa"/>
              <w:end w:w="90" w:type="dxa"/>
            </w:tcMar>
          </w:tcPr>
          <w:p>
            <w:pPr>
              <w:spacing w:after="0"/>
            </w:pPr>
            <w:r>
              <w:rPr>
                <w:sz w:val="14"/>
              </w:rPr>
            </w:r>
            <w:r>
              <w:rPr>
                <w:sz w:val="14"/>
              </w:rPr>
              <w:t>pipeline check registry</w:t>
            </w:r>
          </w:p>
        </w:tc>
        <w:tc>
          <w:tcPr>
            <w:tcW w:type="dxa" w:w="2045"/>
            <w:vAlign w:val="center"/>
            <w:tcMar>
              <w:top w:w="80" w:type="dxa"/>
              <w:start w:w="90" w:type="dxa"/>
              <w:bottom w:w="80" w:type="dxa"/>
              <w:end w:w="90" w:type="dxa"/>
            </w:tcMar>
          </w:tcPr>
          <w:p>
            <w:pPr>
              <w:spacing w:after="0"/>
            </w:pPr>
            <w:r>
              <w:rPr>
                <w:sz w:val="14"/>
              </w:rPr>
            </w:r>
            <w:r>
              <w:rPr>
                <w:sz w:val="14"/>
              </w:rPr>
              <w:t>failures, freshness and backfill status visible</w:t>
            </w:r>
          </w:p>
        </w:tc>
      </w:tr>
      <w:tr>
        <w:tc>
          <w:tcPr>
            <w:tcW w:type="dxa" w:w="2045"/>
            <w:vAlign w:val="center"/>
            <w:tcMar>
              <w:top w:w="80" w:type="dxa"/>
              <w:start w:w="90" w:type="dxa"/>
              <w:bottom w:w="80" w:type="dxa"/>
              <w:end w:w="90" w:type="dxa"/>
            </w:tcMar>
          </w:tcPr>
          <w:p>
            <w:pPr>
              <w:spacing w:after="0"/>
            </w:pPr>
            <w:r>
              <w:rPr>
                <w:sz w:val="14"/>
              </w:rPr>
            </w:r>
            <w:r>
              <w:rPr>
                <w:sz w:val="14"/>
              </w:rPr>
              <w:t>DSH-T009</w:t>
            </w:r>
          </w:p>
        </w:tc>
        <w:tc>
          <w:tcPr>
            <w:tcW w:type="dxa" w:w="2045"/>
            <w:vAlign w:val="center"/>
            <w:tcMar>
              <w:top w:w="80" w:type="dxa"/>
              <w:start w:w="90" w:type="dxa"/>
              <w:bottom w:w="80" w:type="dxa"/>
              <w:end w:w="90" w:type="dxa"/>
            </w:tcMar>
          </w:tcPr>
          <w:p>
            <w:pPr>
              <w:spacing w:after="0"/>
            </w:pPr>
            <w:r>
              <w:rPr>
                <w:sz w:val="14"/>
              </w:rPr>
            </w:r>
            <w:r>
              <w:rPr>
                <w:sz w:val="14"/>
              </w:rPr>
              <w:t>P2</w:t>
            </w:r>
          </w:p>
        </w:tc>
        <w:tc>
          <w:tcPr>
            <w:tcW w:type="dxa" w:w="2045"/>
            <w:vAlign w:val="center"/>
            <w:tcMar>
              <w:top w:w="80" w:type="dxa"/>
              <w:start w:w="90" w:type="dxa"/>
              <w:bottom w:w="80" w:type="dxa"/>
              <w:end w:w="90" w:type="dxa"/>
            </w:tcMar>
          </w:tcPr>
          <w:p>
            <w:pPr>
              <w:spacing w:after="0"/>
            </w:pPr>
            <w:r>
              <w:rPr>
                <w:sz w:val="14"/>
              </w:rPr>
            </w:r>
            <w:r>
              <w:rPr>
                <w:sz w:val="14"/>
              </w:rPr>
              <w:t>Build evidence/continuity dashboard</w:t>
            </w:r>
          </w:p>
        </w:tc>
        <w:tc>
          <w:tcPr>
            <w:tcW w:type="dxa" w:w="2045"/>
            <w:vAlign w:val="center"/>
            <w:tcMar>
              <w:top w:w="80" w:type="dxa"/>
              <w:start w:w="90" w:type="dxa"/>
              <w:bottom w:w="80" w:type="dxa"/>
              <w:end w:w="90" w:type="dxa"/>
            </w:tcMar>
          </w:tcPr>
          <w:p>
            <w:pPr>
              <w:spacing w:after="0"/>
            </w:pPr>
            <w:r>
              <w:rPr>
                <w:sz w:val="14"/>
              </w:rPr>
            </w:r>
            <w:r>
              <w:rPr>
                <w:sz w:val="14"/>
              </w:rPr>
              <w:t>claim/evidence and defect review model</w:t>
            </w:r>
          </w:p>
        </w:tc>
        <w:tc>
          <w:tcPr>
            <w:tcW w:type="dxa" w:w="2045"/>
            <w:vAlign w:val="center"/>
            <w:tcMar>
              <w:top w:w="80" w:type="dxa"/>
              <w:start w:w="90" w:type="dxa"/>
              <w:bottom w:w="80" w:type="dxa"/>
              <w:end w:w="90" w:type="dxa"/>
            </w:tcMar>
          </w:tcPr>
          <w:p>
            <w:pPr>
              <w:spacing w:after="0"/>
            </w:pPr>
            <w:r>
              <w:rPr>
                <w:sz w:val="14"/>
              </w:rPr>
            </w:r>
            <w:r>
              <w:rPr>
                <w:sz w:val="14"/>
              </w:rPr>
              <w:t>AI findings distinguish confirmed/unconfirmed</w:t>
            </w:r>
          </w:p>
        </w:tc>
      </w:tr>
      <w:tr>
        <w:tc>
          <w:tcPr>
            <w:tcW w:type="dxa" w:w="2045"/>
            <w:vAlign w:val="center"/>
            <w:tcMar>
              <w:top w:w="80" w:type="dxa"/>
              <w:start w:w="90" w:type="dxa"/>
              <w:bottom w:w="80" w:type="dxa"/>
              <w:end w:w="90" w:type="dxa"/>
            </w:tcMar>
          </w:tcPr>
          <w:p>
            <w:pPr>
              <w:spacing w:after="0"/>
            </w:pPr>
            <w:r>
              <w:rPr>
                <w:sz w:val="14"/>
              </w:rPr>
            </w:r>
            <w:r>
              <w:rPr>
                <w:sz w:val="14"/>
              </w:rPr>
              <w:t>DSH-T010</w:t>
            </w:r>
          </w:p>
        </w:tc>
        <w:tc>
          <w:tcPr>
            <w:tcW w:type="dxa" w:w="2045"/>
            <w:vAlign w:val="center"/>
            <w:tcMar>
              <w:top w:w="80" w:type="dxa"/>
              <w:start w:w="90" w:type="dxa"/>
              <w:bottom w:w="80" w:type="dxa"/>
              <w:end w:w="90" w:type="dxa"/>
            </w:tcMar>
          </w:tcPr>
          <w:p>
            <w:pPr>
              <w:spacing w:after="0"/>
            </w:pPr>
            <w:r>
              <w:rPr>
                <w:sz w:val="14"/>
              </w:rPr>
            </w:r>
            <w:r>
              <w:rPr>
                <w:sz w:val="14"/>
              </w:rPr>
              <w:t>P2</w:t>
            </w:r>
          </w:p>
        </w:tc>
        <w:tc>
          <w:tcPr>
            <w:tcW w:type="dxa" w:w="2045"/>
            <w:vAlign w:val="center"/>
            <w:tcMar>
              <w:top w:w="80" w:type="dxa"/>
              <w:start w:w="90" w:type="dxa"/>
              <w:bottom w:w="80" w:type="dxa"/>
              <w:end w:w="90" w:type="dxa"/>
            </w:tcMar>
          </w:tcPr>
          <w:p>
            <w:pPr>
              <w:spacing w:after="0"/>
            </w:pPr>
            <w:r>
              <w:rPr>
                <w:sz w:val="14"/>
              </w:rPr>
            </w:r>
            <w:r>
              <w:rPr>
                <w:sz w:val="14"/>
              </w:rPr>
              <w:t>Add dashboard annotation and metric version history</w:t>
            </w:r>
          </w:p>
        </w:tc>
        <w:tc>
          <w:tcPr>
            <w:tcW w:type="dxa" w:w="2045"/>
            <w:vAlign w:val="center"/>
            <w:tcMar>
              <w:top w:w="80" w:type="dxa"/>
              <w:start w:w="90" w:type="dxa"/>
              <w:bottom w:w="80" w:type="dxa"/>
              <w:end w:w="90" w:type="dxa"/>
            </w:tcMar>
          </w:tcPr>
          <w:p>
            <w:pPr>
              <w:spacing w:after="0"/>
            </w:pPr>
            <w:r>
              <w:rPr>
                <w:sz w:val="14"/>
              </w:rPr>
            </w:r>
            <w:r>
              <w:rPr>
                <w:sz w:val="14"/>
              </w:rPr>
              <w:t>governance workflow</w:t>
            </w:r>
          </w:p>
        </w:tc>
        <w:tc>
          <w:tcPr>
            <w:tcW w:type="dxa" w:w="2045"/>
            <w:vAlign w:val="center"/>
            <w:tcMar>
              <w:top w:w="80" w:type="dxa"/>
              <w:start w:w="90" w:type="dxa"/>
              <w:bottom w:w="80" w:type="dxa"/>
              <w:end w:w="90" w:type="dxa"/>
            </w:tcMar>
          </w:tcPr>
          <w:p>
            <w:pPr>
              <w:spacing w:after="0"/>
            </w:pPr>
            <w:r>
              <w:rPr>
                <w:sz w:val="14"/>
              </w:rPr>
            </w:r>
            <w:r>
              <w:rPr>
                <w:sz w:val="14"/>
              </w:rPr>
              <w:t>formula changes have impact and comparability note</w:t>
            </w:r>
          </w:p>
        </w:tc>
      </w:tr>
    </w:tbl>
    <w:p>
      <w:pPr>
        <w:spacing w:after="20"/>
      </w:pPr>
    </w:p>
    <w:p>
      <w:pPr>
        <w:pStyle w:val="Heading1"/>
      </w:pPr>
      <w:r>
        <w:t>16. Unresolved decisions and blockers</w:t>
      </w:r>
    </w:p>
    <w:p>
      <w:pPr>
        <w:pStyle w:val="ListBullet"/>
      </w:pPr>
      <w:r>
        <w:t>Warehouse, transformation engine, orchestration and BI/dashboard vendor.</w:t>
      </w:r>
    </w:p>
    <w:p>
      <w:pPr>
        <w:pStyle w:val="ListBullet"/>
      </w:pPr>
      <w:r>
        <w:t>Exact freshness/latency SLAs and alert destinations.</w:t>
      </w:r>
    </w:p>
    <w:p>
      <w:pPr>
        <w:pStyle w:val="ListBullet"/>
      </w:pPr>
      <w:r>
        <w:t>Role-to-dashboard and row-level access grants.</w:t>
      </w:r>
    </w:p>
    <w:p>
      <w:pPr>
        <w:pStyle w:val="ListBullet"/>
      </w:pPr>
      <w:r>
        <w:t>Approved retention, deletion, residency and legal-hold policy.</w:t>
      </w:r>
    </w:p>
    <w:p>
      <w:pPr>
        <w:pStyle w:val="ListBullet"/>
      </w:pPr>
      <w:r>
        <w:t>Package completeness rubric and project complexity segmentation.</w:t>
      </w:r>
    </w:p>
    <w:p>
      <w:pPr>
        <w:pStyle w:val="ListBullet"/>
      </w:pPr>
      <w:r>
        <w:t>Human time tracking approach, if measured at all.</w:t>
      </w:r>
    </w:p>
    <w:p>
      <w:pPr>
        <w:pStyle w:val="ListBullet"/>
      </w:pPr>
      <w:r>
        <w:t>Cost source, pricing version and allocation for shared calls.</w:t>
      </w:r>
    </w:p>
    <w:p>
      <w:pPr>
        <w:pStyle w:val="ListBullet"/>
      </w:pPr>
      <w:r>
        <w:t>Evaluation minimum sample size, confidence interval policy and evaluator calibration gates.</w:t>
      </w:r>
    </w:p>
    <w:p>
      <w:pPr>
        <w:pStyle w:val="ListBullet"/>
      </w:pPr>
      <w:r>
        <w:t>Security incident ownership and escalation SLA.</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Dashboard Specification  •  Version 1.0  •  Proposed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TATTAVA COPILOT  |  06_ANALYTICS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2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Specification</dc:title>
  <dc:subject>Tattava Copilot 06_ANALYTICS</dc:subject>
  <dc:creator>Tattava Copilot Product / Data Specification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