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Tattava Copilot — Event Tracking &amp; Data Contracts</w:t>
      </w:r>
    </w:p>
    <w:p>
      <w:r>
        <w:rPr>
          <w:b/>
        </w:rPr>
        <w:t>Document ID:</w:t>
      </w:r>
      <w:r>
        <w:t xml:space="preserve"> ANA-EVT-001  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Status:</w:t>
      </w:r>
      <w:r>
        <w:t xml:space="preserve"> Proposed contract; deployment status unknown  </w:t>
      </w:r>
    </w:p>
    <w:p>
      <w:r>
        <w:rPr>
          <w:b/>
        </w:rPr>
        <w:t>Scope:</w:t>
      </w:r>
      <w:r>
        <w:t xml:space="preserve"> Product lifecycle, governed creative workflow, AI orchestration, human decisions, data quality and audit-linked telemetry</w:t>
      </w:r>
    </w:p>
    <w:p>
      <w:pPr>
        <w:pStyle w:val="Heading1"/>
      </w:pPr>
      <w:r>
        <w:t>1. Contract principles</w:t>
      </w:r>
    </w:p>
    <w:p>
      <w:r>
        <w:t>Telemetry exists to measure project progress, reliability, quality and safety. It must not become a shadow content store. Canon is authoritative, typed, versioned and permission-controlled; AI output remains a candidate until governed approval and deterministic commit. Events must preserve these distinctions.</w:t>
      </w:r>
    </w:p>
    <w:p>
      <w:pPr>
        <w:pStyle w:val="Heading2"/>
      </w:pPr>
      <w:r>
        <w:t>Source precedence and status labels</w:t>
      </w:r>
    </w:p>
    <w:p>
      <w:r>
        <w:t>The updated PRD/Product Strategy define outcomes and workflows; approved System/Data Architecture defines entities and system-of-record boundaries; AI specifications define runs/tools/context; Evaluation and Security/Privacy documents define evaluation and privacy constraints. This package proposes event names and schemas; it does not assert existing production instrumentation or selected infrastructure.</w:t>
      </w:r>
    </w:p>
    <w:p>
      <w:r>
        <w:t xml:space="preserve">Use these labels in implementation tickets: </w:t>
      </w:r>
      <w:r>
        <w:rPr>
          <w:b/>
        </w:rPr>
        <w:t>Confirmed invariant</w:t>
      </w:r>
      <w:r>
        <w:t xml:space="preserve">, </w:t>
      </w:r>
      <w:r>
        <w:rPr>
          <w:b/>
        </w:rPr>
        <w:t>Proposed contract</w:t>
      </w:r>
      <w:r>
        <w:t xml:space="preserve">, </w:t>
      </w:r>
      <w:r>
        <w:rPr>
          <w:b/>
        </w:rPr>
        <w:t>Open decision</w:t>
      </w:r>
      <w:r>
        <w:t>. Do not log raw prompts, outputs, retrieved text, story content, credentials or personal data in ordinary telemetry by default.</w:t>
      </w:r>
    </w:p>
    <w:p>
      <w:pPr>
        <w:pStyle w:val="Heading1"/>
      </w:pPr>
      <w:r>
        <w:t>2. Event taxonomy and naming</w:t>
      </w:r>
    </w:p>
    <w:p>
      <w:r>
        <w:t xml:space="preserve">Use lowercase dotted names: </w:t>
      </w:r>
      <w:r>
        <w:rPr>
          <w:rFonts w:ascii="Consolas" w:hAnsi="Consolas"/>
          <w:sz w:val="17"/>
        </w:rPr>
        <w:t>&lt;domain&gt;.&lt;object&gt;_&lt;past-tense-action&gt;</w:t>
      </w:r>
      <w:r>
        <w:t xml:space="preserve"> where practical, e.g. </w:t>
      </w:r>
      <w:r>
        <w:rPr>
          <w:rFonts w:ascii="Consolas" w:hAnsi="Consolas"/>
          <w:sz w:val="17"/>
        </w:rPr>
        <w:t>project.input_accepted</w:t>
      </w:r>
      <w:r>
        <w:t xml:space="preserve">, </w:t>
      </w:r>
      <w:r>
        <w:rPr>
          <w:rFonts w:ascii="Consolas" w:hAnsi="Consolas"/>
          <w:sz w:val="17"/>
        </w:rPr>
        <w:t>candidate.created</w:t>
      </w:r>
      <w:r>
        <w:t xml:space="preserve">, </w:t>
      </w:r>
      <w:r>
        <w:rPr>
          <w:rFonts w:ascii="Consolas" w:hAnsi="Consolas"/>
          <w:sz w:val="17"/>
        </w:rPr>
        <w:t>package.approval_recorded</w:t>
      </w:r>
      <w:r>
        <w:t xml:space="preserve">, </w:t>
      </w:r>
      <w:r>
        <w:rPr>
          <w:rFonts w:ascii="Consolas" w:hAnsi="Consolas"/>
          <w:sz w:val="17"/>
        </w:rPr>
        <w:t>ai.run_completed</w:t>
      </w:r>
      <w:r>
        <w:t>. Names describe a completed fact, not a button label. Events are immutable facts; corrections are new correction/compensation records, not silent edits to historical raw rows.</w:t>
      </w:r>
    </w:p>
    <w:p>
      <w:r>
        <w:t xml:space="preserve">Domains: </w:t>
      </w:r>
      <w:r>
        <w:rPr>
          <w:rFonts w:ascii="Consolas" w:hAnsi="Consolas"/>
          <w:sz w:val="17"/>
        </w:rPr>
        <w:t>identity</w:t>
      </w:r>
      <w:r>
        <w:t xml:space="preserve">, </w:t>
      </w:r>
      <w:r>
        <w:rPr>
          <w:rFonts w:ascii="Consolas" w:hAnsi="Consolas"/>
          <w:sz w:val="17"/>
        </w:rPr>
        <w:t>organization</w:t>
      </w:r>
      <w:r>
        <w:t xml:space="preserve">, </w:t>
      </w:r>
      <w:r>
        <w:rPr>
          <w:rFonts w:ascii="Consolas" w:hAnsi="Consolas"/>
          <w:sz w:val="17"/>
        </w:rPr>
        <w:t>project</w:t>
      </w:r>
      <w:r>
        <w:t xml:space="preserve">, </w:t>
      </w:r>
      <w:r>
        <w:rPr>
          <w:rFonts w:ascii="Consolas" w:hAnsi="Consolas"/>
          <w:sz w:val="17"/>
        </w:rPr>
        <w:t>artifact</w:t>
      </w:r>
      <w:r>
        <w:t xml:space="preserve">, </w:t>
      </w:r>
      <w:r>
        <w:rPr>
          <w:rFonts w:ascii="Consolas" w:hAnsi="Consolas"/>
          <w:sz w:val="17"/>
        </w:rPr>
        <w:t>evidence</w:t>
      </w:r>
      <w:r>
        <w:t xml:space="preserve">, </w:t>
      </w:r>
      <w:r>
        <w:rPr>
          <w:rFonts w:ascii="Consolas" w:hAnsi="Consolas"/>
          <w:sz w:val="17"/>
        </w:rPr>
        <w:t>candidate</w:t>
      </w:r>
      <w:r>
        <w:t xml:space="preserve">, </w:t>
      </w:r>
      <w:r>
        <w:rPr>
          <w:rFonts w:ascii="Consolas" w:hAnsi="Consolas"/>
          <w:sz w:val="17"/>
        </w:rPr>
        <w:t>decision</w:t>
      </w:r>
      <w:r>
        <w:t xml:space="preserve">, </w:t>
      </w:r>
      <w:r>
        <w:rPr>
          <w:rFonts w:ascii="Consolas" w:hAnsi="Consolas"/>
          <w:sz w:val="17"/>
        </w:rPr>
        <w:t>canon</w:t>
      </w:r>
      <w:r>
        <w:t xml:space="preserve">, </w:t>
      </w:r>
      <w:r>
        <w:rPr>
          <w:rFonts w:ascii="Consolas" w:hAnsi="Consolas"/>
          <w:sz w:val="17"/>
        </w:rPr>
        <w:t>workflow</w:t>
      </w:r>
      <w:r>
        <w:t xml:space="preserve">, </w:t>
      </w:r>
      <w:r>
        <w:rPr>
          <w:rFonts w:ascii="Consolas" w:hAnsi="Consolas"/>
          <w:sz w:val="17"/>
        </w:rPr>
        <w:t>ai</w:t>
      </w:r>
      <w:r>
        <w:t xml:space="preserve">, </w:t>
      </w:r>
      <w:r>
        <w:rPr>
          <w:rFonts w:ascii="Consolas" w:hAnsi="Consolas"/>
          <w:sz w:val="17"/>
        </w:rPr>
        <w:t>model</w:t>
      </w:r>
      <w:r>
        <w:t xml:space="preserve">, </w:t>
      </w:r>
      <w:r>
        <w:rPr>
          <w:rFonts w:ascii="Consolas" w:hAnsi="Consolas"/>
          <w:sz w:val="17"/>
        </w:rPr>
        <w:t>retrieval</w:t>
      </w:r>
      <w:r>
        <w:t xml:space="preserve">, </w:t>
      </w:r>
      <w:r>
        <w:rPr>
          <w:rFonts w:ascii="Consolas" w:hAnsi="Consolas"/>
          <w:sz w:val="17"/>
        </w:rPr>
        <w:t>tool</w:t>
      </w:r>
      <w:r>
        <w:t xml:space="preserve">, </w:t>
      </w:r>
      <w:r>
        <w:rPr>
          <w:rFonts w:ascii="Consolas" w:hAnsi="Consolas"/>
          <w:sz w:val="17"/>
        </w:rPr>
        <w:t>review</w:t>
      </w:r>
      <w:r>
        <w:t xml:space="preserve">, </w:t>
      </w:r>
      <w:r>
        <w:rPr>
          <w:rFonts w:ascii="Consolas" w:hAnsi="Consolas"/>
          <w:sz w:val="17"/>
        </w:rPr>
        <w:t>package</w:t>
      </w:r>
      <w:r>
        <w:t xml:space="preserve">, </w:t>
      </w:r>
      <w:r>
        <w:rPr>
          <w:rFonts w:ascii="Consolas" w:hAnsi="Consolas"/>
          <w:sz w:val="17"/>
        </w:rPr>
        <w:t>evaluation</w:t>
      </w:r>
      <w:r>
        <w:t xml:space="preserve">, </w:t>
      </w:r>
      <w:r>
        <w:rPr>
          <w:rFonts w:ascii="Consolas" w:hAnsi="Consolas"/>
          <w:sz w:val="17"/>
        </w:rPr>
        <w:t>security</w:t>
      </w:r>
      <w:r>
        <w:t xml:space="preserve">, </w:t>
      </w:r>
      <w:r>
        <w:rPr>
          <w:rFonts w:ascii="Consolas" w:hAnsi="Consolas"/>
          <w:sz w:val="17"/>
        </w:rPr>
        <w:t>pipeline</w:t>
      </w:r>
      <w:r>
        <w:t>.</w:t>
      </w:r>
    </w:p>
    <w:p>
      <w:pPr>
        <w:pStyle w:val="Heading1"/>
      </w:pPr>
      <w:r>
        <w:t>3. Common event envelope</w:t>
      </w:r>
    </w:p>
    <w:p>
      <w:r>
        <w:t>The fields below are candidates, not mandatory universal identifiers. Require only fields applicable to an event and enforce conditional requirements in schema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Field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Type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Requirement / semantics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event_id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UUID/opaque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stable idempotency identity across retries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event_name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registry-controlled name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event_version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integer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version of event-specific payload contract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schema_version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envelope schema version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occurred_at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RFC 3339 timestamp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event time from authoritative source where available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received_at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RFC 3339 timestamp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Ingestion-added; not trusted from client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actor_type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user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service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system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external_provider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unknown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actor_id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Conditional; avoid direct identifiers in analytics marts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organization_id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tenant-scoped events; server-derived, never trusted from client alone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workspace_id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Conditional if workspace concept exists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project_id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project-scoped events; no project content in ID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session_id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Optional; not a substitute for user/project identity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workflow_id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workflow events where a workflow exists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conversation_id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Optional correlation only; conversation is not project system of record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ai_run_id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AI-run events and child AI telemetry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agent_run_id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Optional child execution correlation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parent_run_id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Parent-child lineage for retries/delegation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model_call_id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model-call-level telemetry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tool_call_id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for tool invocation telemetry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request_id</w:t>
            </w:r>
            <w:r>
              <w:rPr>
                <w:sz w:val="14"/>
              </w:rPr>
              <w:t xml:space="preserve"> / </w:t>
            </w:r>
            <w:r>
              <w:rPr>
                <w:rFonts w:ascii="Consolas" w:hAnsi="Consolas"/>
                <w:sz w:val="14"/>
              </w:rPr>
              <w:t>trace_id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opaque IDs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Propagate across service and async boundaries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environment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development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test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staging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production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source_service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Registry-controlled producer service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tenant_scope_version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string/null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Optional policy/context version for authorization investigations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payload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object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Event-specific, schema-validated, data-minimized fields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data_classification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e.g. </w:t>
            </w:r>
            <w:r>
              <w:rPr>
                <w:rFonts w:ascii="Consolas" w:hAnsi="Consolas"/>
                <w:sz w:val="14"/>
              </w:rPr>
              <w:t>operational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confidential_project_metadata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sz w:val="14"/>
              </w:rPr>
              <w:t>restricted_security</w:t>
            </w:r>
            <w:r>
              <w:rPr>
                <w:sz w:val="14"/>
              </w:rPr>
              <w:t>; approved taxonomy required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privacy_purpose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string/enum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Purpose code where needed; no free-text personal data</w:t>
            </w:r>
          </w:p>
        </w:tc>
      </w:tr>
    </w:tbl>
    <w:p>
      <w:pPr>
        <w:spacing w:after="20"/>
      </w:pPr>
    </w:p>
    <w:p>
      <w:r>
        <w:t xml:space="preserve">Server must overwrite </w:t>
      </w:r>
      <w:r>
        <w:rPr>
          <w:rFonts w:ascii="Consolas" w:hAnsi="Consolas"/>
          <w:sz w:val="17"/>
        </w:rPr>
        <w:t>received_at</w:t>
      </w:r>
      <w:r>
        <w:t xml:space="preserve">, validate tenant/project scope against authenticated context, and reject or quarantine impossible identifier combinations. Client-provided </w:t>
      </w:r>
      <w:r>
        <w:rPr>
          <w:rFonts w:ascii="Consolas" w:hAnsi="Consolas"/>
          <w:sz w:val="17"/>
        </w:rPr>
        <w:t>organization_id</w:t>
      </w:r>
      <w:r>
        <w:t>/</w:t>
      </w:r>
      <w:r>
        <w:rPr>
          <w:rFonts w:ascii="Consolas" w:hAnsi="Consolas"/>
          <w:sz w:val="17"/>
        </w:rPr>
        <w:t>project_id</w:t>
      </w:r>
      <w:r>
        <w:t xml:space="preserve"> are hints only until server authorization succeeds.</w:t>
      </w:r>
    </w:p>
    <w:p>
      <w:pPr>
        <w:pStyle w:val="Heading2"/>
      </w:pPr>
      <w:r>
        <w:t>Representative JSON Schema (envelope)</w:t>
      </w:r>
    </w:p>
    <w:p>
      <w:pPr>
        <w:ind w:left="259"/>
      </w:pPr>
      <w:r>
        <w:rPr>
          <w:rFonts w:ascii="Consolas" w:hAnsi="Consolas"/>
          <w:sz w:val="15"/>
        </w:rPr>
        <w:t>{</w:t>
        <w:br/>
        <w:t xml:space="preserve">  "$schema": "https://json-schema.org/draft/2020-12/schema",</w:t>
        <w:br/>
        <w:t xml:space="preserve">  "$id": "tattava.analytics.event-envelope.v1.json",</w:t>
        <w:br/>
        <w:t xml:space="preserve">  "type": "object",</w:t>
        <w:br/>
        <w:t xml:space="preserve">  "required": ["event_id", "event_name", "event_version", "schema_version", "occurred_at", "environment", "source_service", "actor_type", "payload"],</w:t>
        <w:br/>
        <w:t xml:space="preserve">  "properties": {</w:t>
        <w:br/>
        <w:t xml:space="preserve">    "event_id": {"type": "string", "minLength": 1},</w:t>
        <w:br/>
        <w:t xml:space="preserve">    "event_name": {"type": "string", "pattern": "^[a-z]+(\\.[a-z]+_[a-z]+)+$"},</w:t>
        <w:br/>
        <w:t xml:space="preserve">    "event_version": {"type": "integer", "minimum": 1},</w:t>
        <w:br/>
        <w:t xml:space="preserve">    "schema_version": {"type": "string"},</w:t>
        <w:br/>
        <w:t xml:space="preserve">    "occurred_at": {"type": "string", "format": "date-time"},</w:t>
        <w:br/>
        <w:t xml:space="preserve">    "received_at": {"type": "string", "format": "date-time"},</w:t>
        <w:br/>
        <w:t xml:space="preserve">    "actor_type": {"enum": ["user", "service", "system", "external_provider", "unknown"]},</w:t>
        <w:br/>
        <w:t xml:space="preserve">    "organization_id": {"type": ["string", "null"]},</w:t>
        <w:br/>
        <w:t xml:space="preserve">    "project_id": {"type": ["string", "null"]},</w:t>
        <w:br/>
        <w:t xml:space="preserve">    "workflow_id": {"type": ["string", "null"]},</w:t>
        <w:br/>
        <w:t xml:space="preserve">    "ai_run_id": {"type": ["string", "null"]},</w:t>
        <w:br/>
        <w:t xml:space="preserve">    "request_id": {"type": ["string", "null"]},</w:t>
        <w:br/>
        <w:t xml:space="preserve">    "trace_id": {"type": ["string", "null"]},</w:t>
        <w:br/>
        <w:t xml:space="preserve">    "environment": {"enum": ["development", "test", "staging", "production"]},</w:t>
        <w:br/>
        <w:t xml:space="preserve">    "source_service": {"type": "string"},</w:t>
        <w:br/>
        <w:t xml:space="preserve">    "payload": {"type": "object"}</w:t>
        <w:br/>
        <w:t xml:space="preserve">  },</w:t>
        <w:br/>
        <w:t xml:space="preserve">  "additionalProperties": false</w:t>
        <w:br/>
        <w:t>}</w:t>
      </w:r>
    </w:p>
    <w:p>
      <w:r>
        <w:t xml:space="preserve">Implementation note: a production schema should include every approved envelope field and per-event </w:t>
      </w:r>
      <w:r>
        <w:rPr>
          <w:rFonts w:ascii="Consolas" w:hAnsi="Consolas"/>
          <w:sz w:val="17"/>
        </w:rPr>
        <w:t>$defs</w:t>
      </w:r>
      <w:r>
        <w:t>; the shortened example above illustrates contract style, not a complete deployment registry.</w:t>
      </w:r>
    </w:p>
    <w:p>
      <w:pPr>
        <w:pStyle w:val="Heading1"/>
      </w:pPr>
      <w:r>
        <w:t>4. Event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ID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Event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Authoritative emission point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Required identifiers / payload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KPI or purpose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Classification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EVT-001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project.created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 domain service after commit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org, project, creator actor type, project type enum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adoption/cohort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EVT-002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project.input_accepted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validates initial input and accepts project start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accepted input reference/version, acceptance policy version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NSM start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Confidential metadata; no input text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EVT-003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workflow.started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Orchestrator persists run state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workflow, workflow type/version, trigger source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 funnel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EVT-004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workflow.completed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Orchestrator terminal transition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workflow, terminal status, started/terminal timestamps, outcome code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completion/latency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EVT-005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artifact.created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Artifact service commit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artifact ID/type/version/status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artifact usage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Confidential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EVT-006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candidate.created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 service persists AI/human candidate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candidate ID/type, run ID nullable, source type, target version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useful candidate/rework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Confidential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EVT-007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candidate.decision_recorded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Decision service persists explicit accept/reject/defer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candidate, decision, actor role, decision timestamp, rationale code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acceptance/rework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metadata; no rationale free text by default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EVT-008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canon.revision_committed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 domain command transaction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revision ID, parent version, command ID, authorized actor type, result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integrity/audit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security/creative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EVT-009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package.completeness_validated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Package validator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package/version, template version, completeness result, missing-section codes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KPI-006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Confidential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EVT-010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package.approval_recorded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Approval service after authorization and validation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package/version, approver role, approval policy version, outcome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NSM terminal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decision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EVT-011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ai.run_started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orchestrator run record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workflow, project, capability ID/version, policy version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funnel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EVT-012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ai.run_completed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Orchestrator terminal state persisted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terminal status, duration, error class, output reference/hash only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success/latency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EVT-013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model.call_completed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gateway after response/error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model call, run, provider/model alias, version if available, latency, token usage, status, cost estimate provenance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cost/latency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EVT-014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retrieval.completed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 service after query execution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index/version, result count, latency, filter/policy version, content refs/hashes only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retrieval observability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EVT-015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tool.invocation_completed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gateway after allowlist/auth check and execution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call, run, tool name/version, authorization result, status, duration, error class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tool reliability/security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EVT-016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ai.retry_scheduled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Orchestrator records retry decision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run, attempt, parent attempt, reason code, retry budget remaining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retry/recovery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EVT-017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review.requested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Review/approval workflow service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project, target ID/version, required role domain, request timestamp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approval wait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Confidential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EVT-018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review.decision_recorded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Review service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target/version, decision, role domain, timestamps, decision code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acceptance/approval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EVT-019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evaluation.completed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harness persists result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evaluation run, dataset/version, case ID, build/model/prompt/retrieval versions, metric IDs, result status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quality/regression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 evaluation metadata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EVT-020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security.policy_event_recorded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Authorization/policy enforcement point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policy code, actor type, target reference, decision, correlation ID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security release gate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Restricted; access limited</w:t>
            </w:r>
          </w:p>
        </w:tc>
      </w:tr>
      <w:tr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EVT-021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rFonts w:ascii="Consolas" w:hAnsi="Consolas"/>
                <w:sz w:val="14"/>
              </w:rPr>
              <w:t>pipeline.quality_check_failed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 quality runner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check ID/version, model/table, severity, observed value, threshold version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 reliability</w:t>
            </w:r>
          </w:p>
        </w:tc>
        <w:tc>
          <w:tcPr>
            <w:tcW w:type="dxa" w:w="17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metadata</w:t>
            </w:r>
          </w:p>
        </w:tc>
      </w:tr>
    </w:tbl>
    <w:p>
      <w:pPr>
        <w:spacing w:after="20"/>
      </w:pPr>
    </w:p>
    <w:p>
      <w:r>
        <w:t>Event payloads should prefer enums, stable references, version IDs and hashes over content. Event contracts must explicitly state whether the event is a business fact, operational observation or diagnostic signal; these are not interchangeable.</w:t>
      </w:r>
    </w:p>
    <w:p>
      <w:pPr>
        <w:pStyle w:val="Heading1"/>
      </w:pPr>
      <w:r>
        <w:t>5. Example payloads</w:t>
      </w:r>
    </w:p>
    <w:p>
      <w:pPr>
        <w:pStyle w:val="Heading2"/>
      </w:pPr>
      <w:r>
        <w:t>`package.approval_recorded`</w:t>
      </w:r>
    </w:p>
    <w:p>
      <w:pPr>
        <w:ind w:left="259"/>
      </w:pPr>
      <w:r>
        <w:rPr>
          <w:rFonts w:ascii="Consolas" w:hAnsi="Consolas"/>
          <w:sz w:val="15"/>
        </w:rPr>
        <w:t>{</w:t>
        <w:br/>
        <w:t xml:space="preserve">  "event_id": "evt_opaque_123",</w:t>
        <w:br/>
        <w:t xml:space="preserve">  "event_name": "package.approval_recorded",</w:t>
        <w:br/>
        <w:t xml:space="preserve">  "event_version": 1,</w:t>
        <w:br/>
        <w:t xml:space="preserve">  "schema_version": "1.0.0",</w:t>
        <w:br/>
        <w:t xml:space="preserve">  "occurred_at": "2026-10-06T09:30:00Z",</w:t>
        <w:br/>
        <w:t xml:space="preserve">  "actor_type": "user",</w:t>
        <w:br/>
        <w:t xml:space="preserve">  "organization_id": "org_opaque_1",</w:t>
        <w:br/>
        <w:t xml:space="preserve">  "project_id": "prj_opaque_7",</w:t>
        <w:br/>
        <w:t xml:space="preserve">  "environment": "production",</w:t>
        <w:br/>
        <w:t xml:space="preserve">  "source_service": "approval-service",</w:t>
        <w:br/>
        <w:t xml:space="preserve">  "payload": {</w:t>
        <w:br/>
        <w:t xml:space="preserve">    "package_version_id": "pkgv_opaque_9",</w:t>
        <w:br/>
        <w:t xml:space="preserve">    "approval_outcome": "approved",</w:t>
        <w:br/>
        <w:t xml:space="preserve">    "approver_role_domain": "project_authority",</w:t>
        <w:br/>
        <w:t xml:space="preserve">    "completeness_status": "complete",</w:t>
        <w:br/>
        <w:t xml:space="preserve">    "approval_policy_version": "approval-policy-1",</w:t>
        <w:br/>
        <w:t xml:space="preserve">    "command_id": "cmd_opaque_4"</w:t>
        <w:br/>
        <w:t xml:space="preserve">  }</w:t>
        <w:br/>
        <w:t>}</w:t>
      </w:r>
    </w:p>
    <w:p>
      <w:r>
        <w:t>The sample IDs are illustrative. The event is emitted only after server-side authorization and the approval transaction succeed. Do not include the package contents or approver's direct identity in general analytics marts.</w:t>
      </w:r>
    </w:p>
    <w:p>
      <w:pPr>
        <w:pStyle w:val="Heading2"/>
      </w:pPr>
      <w:r>
        <w:t>`ai.run_completed`</w:t>
      </w:r>
    </w:p>
    <w:p>
      <w:pPr>
        <w:ind w:left="259"/>
      </w:pPr>
      <w:r>
        <w:rPr>
          <w:rFonts w:ascii="Consolas" w:hAnsi="Consolas"/>
          <w:sz w:val="15"/>
        </w:rPr>
        <w:t>{</w:t>
        <w:br/>
        <w:t xml:space="preserve">  "event_id": "evt_opaque_456",</w:t>
        <w:br/>
        <w:t xml:space="preserve">  "event_name": "ai.run_completed",</w:t>
        <w:br/>
        <w:t xml:space="preserve">  "event_version": 1,</w:t>
        <w:br/>
        <w:t xml:space="preserve">  "schema_version": "1.0.0",</w:t>
        <w:br/>
        <w:t xml:space="preserve">  "occurred_at": "2026-10-06T09:31:12Z",</w:t>
        <w:br/>
        <w:t xml:space="preserve">  "actor_type": "system",</w:t>
        <w:br/>
        <w:t xml:space="preserve">  "organization_id": "org_opaque_1",</w:t>
        <w:br/>
        <w:t xml:space="preserve">  "project_id": "prj_opaque_7",</w:t>
        <w:br/>
        <w:t xml:space="preserve">  "workflow_id": "wf_opaque_3",</w:t>
        <w:br/>
        <w:t xml:space="preserve">  "ai_run_id": "run_opaque_5",</w:t>
        <w:br/>
        <w:t xml:space="preserve">  "trace_id": "trace_opaque_8",</w:t>
        <w:br/>
        <w:t xml:space="preserve">  "environment": "production",</w:t>
        <w:br/>
        <w:t xml:space="preserve">  "source_service": "ai-orchestrator",</w:t>
        <w:br/>
        <w:t xml:space="preserve">  "payload": {</w:t>
        <w:br/>
        <w:t xml:space="preserve">    "capability_id": "CAP-RESEARCH-SYNTHESIS",</w:t>
        <w:br/>
        <w:t xml:space="preserve">    "capability_version": "1.2.0",</w:t>
        <w:br/>
        <w:t xml:space="preserve">    "terminal_status": "succeeded",</w:t>
        <w:br/>
        <w:t xml:space="preserve">    "duration_ms": 72100,</w:t>
        <w:br/>
        <w:t xml:space="preserve">    "error_class": null,</w:t>
        <w:br/>
        <w:t xml:space="preserve">    "output_reference": "artifact_opaque_11",</w:t>
        <w:br/>
        <w:t xml:space="preserve">    "policy_version": "ai-policy-1"</w:t>
        <w:br/>
        <w:t xml:space="preserve">  }</w:t>
        <w:br/>
        <w:t>}</w:t>
      </w:r>
    </w:p>
    <w:p>
      <w:pPr>
        <w:pStyle w:val="Heading1"/>
      </w:pPr>
      <w:r>
        <w:t>6. Delivery and ingestion architecture</w:t>
      </w:r>
    </w:p>
    <w:p>
      <w:pPr>
        <w:ind w:left="259"/>
      </w:pPr>
      <w:r>
        <w:rPr>
          <w:rFonts w:ascii="Consolas" w:hAnsi="Consolas"/>
          <w:sz w:val="15"/>
        </w:rPr>
        <w:t>flowchart LR</w:t>
        <w:br/>
        <w:t xml:space="preserve">  UI[Client UX events] --&gt; API[Authenticated event/API boundary]</w:t>
        <w:br/>
        <w:t xml:space="preserve">  DOM[Authoritative domain services] --&gt; OUT[Transactional outbox or durable event publisher]</w:t>
        <w:br/>
        <w:t xml:space="preserve">  AI[AI orchestrator / model gateway / tool gateway] --&gt; OUT</w:t>
        <w:br/>
        <w:t xml:space="preserve">  API --&gt; GATE[Validation, auth scope, schema registry]</w:t>
        <w:br/>
        <w:t xml:space="preserve">  OUT --&gt; GATE</w:t>
        <w:br/>
        <w:t xml:space="preserve">  GATE --&gt; RAW[Raw immutable landing]</w:t>
        <w:br/>
        <w:t xml:space="preserve">  GATE --&gt; Q[Quarantine / dead-letter]</w:t>
        <w:br/>
        <w:t xml:space="preserve">  RAW --&gt; VAL[Validated and deduplicated]</w:t>
        <w:br/>
        <w:t xml:space="preserve">  VAL --&gt; MOD[Canonical facts and dimensions]</w:t>
        <w:br/>
        <w:t xml:space="preserve">  MOD --&gt; SERV[Metric aggregates / serving views]</w:t>
        <w:br/>
        <w:t xml:space="preserve">  SERV --&gt; DASH[Product, AI, quality dashboards]</w:t>
        <w:br/>
        <w:t xml:space="preserve">  AUD[Audit store] -. restricted correlation IDs .-&gt; MOD</w:t>
      </w:r>
    </w:p>
    <w:p>
      <w:pPr>
        <w:pStyle w:val="Heading2"/>
      </w:pPr>
      <w:r>
        <w:t>Recommended delivery semantics</w:t>
      </w:r>
    </w:p>
    <w:p>
      <w:pPr>
        <w:pStyle w:val="ListBullet"/>
      </w:pPr>
      <w:r>
        <w:rPr>
          <w:b/>
        </w:rPr>
        <w:t>Business events:</w:t>
      </w:r>
      <w:r>
        <w:t xml:space="preserve"> emit from authoritative server-side domain services. Where supported, use transactional outbox to couple domain commit and event publication; otherwise use durable retryable publisher and reconciliation.</w:t>
      </w:r>
    </w:p>
    <w:p>
      <w:pPr>
        <w:pStyle w:val="ListBullet"/>
      </w:pPr>
      <w:r>
        <w:rPr>
          <w:b/>
        </w:rPr>
        <w:t>Client events:</w:t>
      </w:r>
      <w:r>
        <w:t xml:space="preserve"> accept only for interaction diagnostics that cannot be derived server-side. Authenticate, rate-limit, validate, and never trust client-provided tenant/project scope. Do not use client events for approval, Canon mutation or security authorization facts.</w:t>
      </w:r>
    </w:p>
    <w:p>
      <w:pPr>
        <w:pStyle w:val="ListBullet"/>
      </w:pPr>
      <w:r>
        <w:rPr>
          <w:b/>
        </w:rPr>
        <w:t>Transport:</w:t>
      </w:r>
      <w:r>
        <w:t xml:space="preserve"> start with durable batch/micro-batch unless a documented operational use case requires streaming. Security alerts may need a separate low-latency path. Actual broker/warehouse choice remains open.</w:t>
      </w:r>
    </w:p>
    <w:p>
      <w:pPr>
        <w:pStyle w:val="ListBullet"/>
      </w:pPr>
      <w:r>
        <w:rPr>
          <w:b/>
        </w:rPr>
        <w:t>Delivery:</w:t>
      </w:r>
      <w:r>
        <w:t xml:space="preserve"> assume at-least-once. Exactly-once end-to-end is not claimed. Use stable </w:t>
      </w:r>
      <w:r>
        <w:rPr>
          <w:rFonts w:ascii="Consolas" w:hAnsi="Consolas"/>
          <w:sz w:val="17"/>
        </w:rPr>
        <w:t>event_id</w:t>
      </w:r>
      <w:r>
        <w:t>, producer idempotency key, and idempotent warehouse merges.</w:t>
      </w:r>
    </w:p>
    <w:p>
      <w:pPr>
        <w:pStyle w:val="ListBullet"/>
      </w:pPr>
      <w:r>
        <w:rPr>
          <w:b/>
        </w:rPr>
        <w:t>Ordering:</w:t>
      </w:r>
      <w:r>
        <w:t xml:space="preserve"> use </w:t>
      </w:r>
      <w:r>
        <w:rPr>
          <w:rFonts w:ascii="Consolas" w:hAnsi="Consolas"/>
          <w:sz w:val="17"/>
        </w:rPr>
        <w:t>occurred_at</w:t>
      </w:r>
      <w:r>
        <w:t>, server sequence/version and entity version where relevant; do not assume global event ordering. Enforce expected-version checks for Canon/package commits.</w:t>
      </w:r>
    </w:p>
    <w:p>
      <w:pPr>
        <w:pStyle w:val="ListBullet"/>
      </w:pPr>
      <w:r>
        <w:rPr>
          <w:b/>
        </w:rPr>
        <w:t>Retries:</w:t>
      </w:r>
      <w:r>
        <w:t xml:space="preserve"> exponential backoff with jitter, bounded attempts, and retry classification. Permanent schema/authorization failures go to quarantine; transient network/provider failures retry within policy.</w:t>
      </w:r>
    </w:p>
    <w:p>
      <w:pPr>
        <w:pStyle w:val="ListBullet"/>
      </w:pPr>
      <w:r>
        <w:rPr>
          <w:b/>
        </w:rPr>
        <w:t>Dead letter:</w:t>
      </w:r>
      <w:r>
        <w:t xml:space="preserve"> retain minimal payload/reference plus error code and replay metadata; restrict access and apply retention policy. Do not create a raw-content graveyard.</w:t>
      </w:r>
    </w:p>
    <w:p>
      <w:pPr>
        <w:pStyle w:val="ListBullet"/>
      </w:pPr>
      <w:r>
        <w:rPr>
          <w:b/>
        </w:rPr>
        <w:t>Replay:</w:t>
      </w:r>
      <w:r>
        <w:t xml:space="preserve"> replay only authorized immutable events with a replay ID and transformation version; deduplicate by event identity. Corrections use governed compensating records.</w:t>
      </w:r>
    </w:p>
    <w:p>
      <w:pPr>
        <w:pStyle w:val="ListBullet"/>
      </w:pPr>
      <w:r>
        <w:rPr>
          <w:b/>
        </w:rPr>
        <w:t>Clock skew:</w:t>
      </w:r>
      <w:r>
        <w:t xml:space="preserve"> record server receive time and source type. Flag implausible client timestamps; do not rewrite authoritative server timestamps.</w:t>
      </w:r>
    </w:p>
    <w:p>
      <w:pPr>
        <w:pStyle w:val="ListBullet"/>
      </w:pPr>
      <w:r>
        <w:rPr>
          <w:b/>
        </w:rPr>
        <w:t>Backpressure:</w:t>
      </w:r>
      <w:r>
        <w:t xml:space="preserve"> producers must not block consequential user transactions indefinitely. Outbox lag and backlog age are monitored; business-state correctness cannot depend on analytics warehouse availability.</w:t>
      </w:r>
    </w:p>
    <w:p>
      <w:pPr>
        <w:pStyle w:val="Heading1"/>
      </w:pPr>
      <w:r>
        <w:t>7. Schema evolution and contract governance</w:t>
      </w:r>
    </w:p>
    <w:p>
      <w:pPr>
        <w:pStyle w:val="ListBullet"/>
      </w:pPr>
      <w:r>
        <w:t>Schema registry or version-controlled schema repository is required before production event growth. Registry technology is TBD.</w:t>
      </w:r>
    </w:p>
    <w:p>
      <w:pPr>
        <w:pStyle w:val="ListBullet"/>
      </w:pPr>
      <w:r>
        <w:t>Additive optional fields are normally backward-compatible; changing type/meaning, renaming, removing, changing enum semantics or event grain requires a new event version or migration plan.</w:t>
      </w:r>
    </w:p>
    <w:p>
      <w:pPr>
        <w:pStyle w:val="ListBullet"/>
      </w:pPr>
      <w:r>
        <w:t>Consumers must tolerate unknown optional fields but reject invalid required fields.</w:t>
      </w:r>
    </w:p>
    <w:p>
      <w:pPr>
        <w:pStyle w:val="ListBullet"/>
      </w:pPr>
      <w:r>
        <w:t>Deprecation requires owner, replacement, consumer inventory, dual-publish period where needed, backfill/compatibility decision, dashboard impact, and removal date approval.</w:t>
      </w:r>
    </w:p>
    <w:p>
      <w:pPr>
        <w:pStyle w:val="ListBullet"/>
      </w:pPr>
      <w:r>
        <w:t>Contract tests run in CI against producers, schemas and downstream models. Breaking changes block release unless migration is approved.</w:t>
      </w:r>
    </w:p>
    <w:p>
      <w:pPr>
        <w:pStyle w:val="ListBullet"/>
      </w:pPr>
      <w:r>
        <w:t>Every event definition includes: purpose, trigger, emission point, required/optional fields, permitted values, sample, KPI mapping, classification, owner, version and failure handling.</w:t>
      </w:r>
    </w:p>
    <w:p>
      <w:pPr>
        <w:pStyle w:val="Heading1"/>
      </w:pPr>
      <w:r>
        <w:t>8. Privacy, security and access</w:t>
      </w:r>
    </w:p>
    <w:p>
      <w:pPr>
        <w:pStyle w:val="ListBullet"/>
      </w:pPr>
      <w:r>
        <w:t>Never log raw prompts, outputs, retrieved content, scripts, story bible content, personal data, secrets or provider payloads by default.</w:t>
      </w:r>
    </w:p>
    <w:p>
      <w:pPr>
        <w:pStyle w:val="ListBullet"/>
      </w:pPr>
      <w:r>
        <w:t>For debugging, use content references/hashes, redacted excerpts only when explicitly approved, scoped access, time-limited access and an auditable reason.</w:t>
      </w:r>
    </w:p>
    <w:p>
      <w:pPr>
        <w:pStyle w:val="ListBullet"/>
      </w:pPr>
      <w:r>
        <w:t>Tenant/project scope is server-derived and validated. Derived telemetry, caches, indexes and exports inherit the original scope.</w:t>
      </w:r>
    </w:p>
    <w:p>
      <w:pPr>
        <w:pStyle w:val="ListBullet"/>
      </w:pPr>
      <w:r>
        <w:t>Restrict security and authorization event access; dashboard aggregates must not reveal another project's existence or activity.</w:t>
      </w:r>
    </w:p>
    <w:p>
      <w:pPr>
        <w:pStyle w:val="ListBullet"/>
      </w:pPr>
      <w:r>
        <w:t>Provider/model identifiers, token counts and cost may be recorded only if available and policy-approved; never assume provider usage metadata is complete.</w:t>
      </w:r>
    </w:p>
    <w:p>
      <w:pPr>
        <w:pStyle w:val="ListBullet"/>
      </w:pPr>
      <w:r>
        <w:t>Retention, residency, deletion SLA, legal hold and provider-side retention are unresolved policy decisions and must be approved before production commitments.</w:t>
      </w:r>
    </w:p>
    <w:p>
      <w:pPr>
        <w:pStyle w:val="Heading1"/>
      </w:pPr>
      <w:r>
        <w:t>9. Data quality and monitoring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Check 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Rule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Severity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Default response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DQ-EVT-001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envelope fields valid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 for authoritative business event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Quarantine; alert producer owner; no silent drop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DQ-EVT-002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Event ID uniqueness within deduplication scope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High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Idempotent merge; count duplicates; investigate spike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DQ-EVT-003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Project/org association matches authorized server context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Reject/quarantine; security incident workflow if leakage suspected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DQ-EVT-004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State transition is valid for event domain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 for Canon/approval events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Reject; reconcile with system of record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DQ-EVT-005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Unknown event name/version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High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Quarantine and alert schema owner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DQ-EVT-006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Missing AI correlation IDs for AI events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High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Quarantine or mark uncorrelated by explicit policy; alert owner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DQ-EVT-007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Late-arrival distribution exceeds approved threshold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Medium/high after baseline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Reprocess affected event-time partitions; investigate source clock/queue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DQ-EVT-008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Payload contains prohibited content field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</w:t>
            </w:r>
          </w:p>
        </w:tc>
        <w:tc>
          <w:tcPr>
            <w:tcW w:type="dxa" w:w="25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Block ingestion, redact where safe, security/privacy incident review</w:t>
            </w:r>
          </w:p>
        </w:tc>
      </w:tr>
    </w:tbl>
    <w:p>
      <w:pPr>
        <w:spacing w:after="20"/>
      </w:pPr>
    </w:p>
    <w:p>
      <w:r>
        <w:t>Thresholds and alert destinations are proposed and require baseline/owner approval. A data-quality check failure must not silently turn into a zero metric.</w:t>
      </w:r>
    </w:p>
    <w:p>
      <w:pPr>
        <w:pStyle w:val="Heading1"/>
      </w:pPr>
      <w:r>
        <w:t>10.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Test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Scenario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9EEF5"/>
          </w:tcPr>
          <w:p>
            <w:pPr>
              <w:spacing w:after="0"/>
            </w:pPr>
            <w:r>
              <w:rPr>
                <w:b/>
                <w:color w:val="17365D"/>
                <w:sz w:val="14"/>
              </w:rPr>
            </w:r>
            <w:r>
              <w:rPr>
                <w:b/>
                <w:color w:val="17365D"/>
                <w:sz w:val="14"/>
              </w:rPr>
              <w:t>Expected result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server event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Schema accepted; immutable raw record and lineage written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TEST-002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Duplicate delivery with same event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One logical event after dedup; duplicate counter increments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event ID with conflicting payload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Quarantine and alert; never last-write-wins silently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TEST-004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submits another project's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rejects scope mismatch; security event correlated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Missing required field / invalid enum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Quarantine with field-level error; no serving-model propagation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TEST-006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Additive optional schema field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Compatible consumer continues to parse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TEST-007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Breaking schema change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CI contract test fails until migration approved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TEST-008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Late event arrives after partition close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Idempotent backfill updates event-time metric and records reprocessing version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TEST-009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Replaying raw events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Serving tables remain logically idempotent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TEST-010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AI event has no run ID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Rejected/quarantined unless event contract explicitly permits null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Raw prompt included in telemetry payload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Ingestion policy blocks or redacts and emits privacy alert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TEST-012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 commit fails expected-version check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No </w:t>
            </w:r>
            <w:r>
              <w:rPr>
                <w:rFonts w:ascii="Consolas" w:hAnsi="Consolas"/>
                <w:sz w:val="14"/>
              </w:rPr>
              <w:t>canon.revision_committed</w:t>
            </w:r>
            <w:r>
              <w:rPr>
                <w:sz w:val="14"/>
              </w:rPr>
              <w:t xml:space="preserve"> success event; failure recorded separately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Approval UI succeeds but server transaction fails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authoritative approval event emitted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TEST-014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Dead-letter replay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Requires authorization, replay ID, same dedup key, and audit trail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Tenant deletion requested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Deletion workflow propagates to permitted analytics copies; completion only after evidence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TEST-016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Warehouse unavailable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Domain operations remain correct; outbox/backlog recovers without duplicate metric effect</w:t>
            </w:r>
          </w:p>
        </w:tc>
      </w:tr>
    </w:tbl>
    <w:p>
      <w:pPr>
        <w:spacing w:after="20"/>
      </w:pPr>
    </w:p>
    <w:p>
      <w:pPr>
        <w:pStyle w:val="Heading1"/>
      </w:pPr>
      <w:r>
        <w:t>11. Open implementation decisions</w:t>
      </w:r>
    </w:p>
    <w:p>
      <w:pPr>
        <w:pStyle w:val="ListBullet"/>
      </w:pPr>
      <w:r>
        <w:t>Event transport/broker and warehouse technology.</w:t>
      </w:r>
    </w:p>
    <w:p>
      <w:pPr>
        <w:pStyle w:val="ListBullet"/>
      </w:pPr>
      <w:r>
        <w:t>Schema registry implementation and owner.</w:t>
      </w:r>
    </w:p>
    <w:p>
      <w:pPr>
        <w:pStyle w:val="ListBullet"/>
      </w:pPr>
      <w:r>
        <w:t>Client analytics SDK and consent/notice requirements, if any.</w:t>
      </w:r>
    </w:p>
    <w:p>
      <w:pPr>
        <w:pStyle w:val="ListBullet"/>
      </w:pPr>
      <w:r>
        <w:t>Approved retention and deletion propagation across raw events, backups and provider records.</w:t>
      </w:r>
    </w:p>
    <w:p>
      <w:pPr>
        <w:pStyle w:val="ListBullet"/>
      </w:pPr>
      <w:r>
        <w:t>Event-volume and latency estimates needed for capacity planning.</w:t>
      </w:r>
    </w:p>
    <w:p>
      <w:pPr>
        <w:pStyle w:val="ListBullet"/>
      </w:pPr>
      <w:r>
        <w:t>Alert destination/on-call ownership and operational SLAs.</w:t>
      </w:r>
    </w:p>
    <w:p>
      <w:pPr>
        <w:pStyle w:val="ListBullet"/>
      </w:pPr>
      <w:r>
        <w:t>Exact work-time instrumentation method and whether any user-facing tracking notice is required.</w:t>
      </w:r>
    </w:p>
    <w:p>
      <w:pPr>
        <w:pStyle w:val="ListBullet"/>
      </w:pPr>
      <w:r>
        <w:t>Data classification taxonomy and content-level diagnostic exception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Event Tracking  •  Version 1.0  •  Proposed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TATTAVA COPILOT  |  06_ANALYTICS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Tracking</dc:title>
  <dc:subject>Tattava Copilot 06_ANALYTICS</dc:subject>
  <dc:creator>Tattava Copilot Product / Data Specification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