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KPI Tree &amp; Metric Data Models</w:t>
      </w:r>
    </w:p>
    <w:p>
      <w:r>
        <w:rPr>
          <w:b/>
        </w:rPr>
        <w:t>Document ID:</w:t>
      </w:r>
      <w:r>
        <w:t xml:space="preserve"> ANA-KPI-001  </w:t>
      </w:r>
    </w:p>
    <w:p>
      <w:r>
        <w:rPr>
          <w:b/>
        </w:rPr>
        <w:t>Version:</w:t>
      </w:r>
      <w:r>
        <w:t xml:space="preserve"> 1.0  </w:t>
      </w:r>
    </w:p>
    <w:p>
      <w:r>
        <w:rPr>
          <w:b/>
        </w:rPr>
        <w:t>Status:</w:t>
      </w:r>
      <w:r>
        <w:t xml:space="preserve"> Proposed implementation specification; not evidence of deployed instrumentation  </w:t>
      </w:r>
    </w:p>
    <w:p>
      <w:r>
        <w:rPr>
          <w:b/>
        </w:rPr>
        <w:t>Scope:</w:t>
      </w:r>
      <w:r>
        <w:t xml:space="preserve"> V1 Narrative Intelligence / Human-Approved Story Development Package  </w:t>
      </w:r>
    </w:p>
    <w:p>
      <w:r>
        <w:rPr>
          <w:b/>
        </w:rPr>
        <w:t>Owners:</w:t>
      </w:r>
      <w:r>
        <w:t xml:space="preserve"> Product (metric meaning), Data/Analytics (definitions and models), Engineering (source events), Creative/Content (quality rubrics), Security/Privacy (data handling)</w:t>
      </w:r>
    </w:p>
    <w:p>
      <w:pPr>
        <w:pStyle w:val="Heading1"/>
      </w:pPr>
      <w:r>
        <w:t>1. Purpose and decision context</w:t>
      </w:r>
    </w:p>
    <w:p>
      <w:r>
        <w:t>This document converts the product outcome into measurable, reproducible metrics. Tattava is a project-centric Narrative Intelligence system: the project is the durable unit of intelligence, while conversation is an interaction surface. Analytics must measure project progress, quality, reuse and trust—not prompts, tokens, agent count, or generation volume as proxies for value.</w:t>
      </w:r>
    </w:p>
    <w:p>
      <w:pPr>
        <w:pStyle w:val="Heading2"/>
      </w:pPr>
      <w:r>
        <w:t>Source precedence</w:t>
      </w:r>
    </w:p>
    <w:p>
      <w:pPr>
        <w:pStyle w:val="ListNumber"/>
      </w:pPr>
      <w:r>
        <w:t>Updated Product Strategy and current PRD govern product intent and success outcomes.</w:t>
      </w:r>
    </w:p>
    <w:p>
      <w:pPr>
        <w:pStyle w:val="ListNumber"/>
      </w:pPr>
      <w:r>
        <w:t>Approved System/Data Architecture governs system-of-record boundaries and technical invariants.</w:t>
      </w:r>
    </w:p>
    <w:p>
      <w:pPr>
        <w:pStyle w:val="ListNumber"/>
      </w:pPr>
      <w:r>
        <w:t>AI Intelligence specifications govern run, context, tool and human-review semantics.</w:t>
      </w:r>
    </w:p>
    <w:p>
      <w:pPr>
        <w:pStyle w:val="ListNumber"/>
      </w:pPr>
      <w:r>
        <w:t>Evaluation and Security/Privacy documents govern evaluation evidence, telemetry minimization and release blockers.</w:t>
      </w:r>
    </w:p>
    <w:p>
      <w:pPr>
        <w:pStyle w:val="ListNumber"/>
      </w:pPr>
      <w:r>
        <w:t>BRD provides business context and scope history.</w:t>
      </w:r>
    </w:p>
    <w:p>
      <w:r>
        <w:t>If sources disagree, preserve the conflict in a decision log; do not silently redefine the product. This document is a proposed analytics contract, not a claim that metrics or pipelines are deployed.</w:t>
      </w:r>
    </w:p>
    <w:p>
      <w:pPr>
        <w:pStyle w:val="Heading1"/>
      </w:pPr>
      <w:r>
        <w:t>2. North Star Metric</w:t>
      </w:r>
    </w:p>
    <w:p>
      <w:r>
        <w:rPr>
          <w:b/>
        </w:rPr>
        <w:t>NSM-001 — Time from accepted project input to Human-Approved Story Development Package.</w:t>
      </w:r>
      <w:r>
        <w:t xml:space="preserve"> This is supported by the updated PRD and is the V1 operational definition. It is not equivalent to readiness for physical production.</w:t>
      </w:r>
    </w:p>
    <w:p>
      <w:pPr>
        <w:pStyle w:val="ListBullet"/>
      </w:pPr>
      <w:r>
        <w:rPr>
          <w:b/>
        </w:rPr>
        <w:t>Definition:</w:t>
      </w:r>
      <w:r>
        <w:t xml:space="preserve"> elapsed time between a valid starting input being accepted and a designated human authority approving a package version that meets agreed completeness criteria.</w:t>
      </w:r>
    </w:p>
    <w:p>
      <w:pPr>
        <w:pStyle w:val="ListBullet"/>
      </w:pPr>
      <w:r>
        <w:rPr>
          <w:b/>
        </w:rPr>
        <w:t>Primary formula:</w:t>
      </w:r>
      <w:r>
        <w:t xml:space="preserve"> </w:t>
      </w:r>
      <w:r>
        <w:rPr>
          <w:rFonts w:ascii="Consolas" w:hAnsi="Consolas"/>
          <w:sz w:val="17"/>
        </w:rPr>
        <w:t>approved_at_utc - accepted_input_at_utc</w:t>
      </w:r>
      <w:r>
        <w:t>.</w:t>
      </w:r>
    </w:p>
    <w:p>
      <w:pPr>
        <w:pStyle w:val="ListBullet"/>
      </w:pPr>
      <w:r>
        <w:rPr>
          <w:b/>
        </w:rPr>
        <w:t>Unit / grain:</w:t>
      </w:r>
      <w:r>
        <w:t xml:space="preserve"> hours per eligible project-package approval; project is the primary entity.</w:t>
      </w:r>
    </w:p>
    <w:p>
      <w:pPr>
        <w:pStyle w:val="ListBullet"/>
      </w:pPr>
      <w:r>
        <w:rPr>
          <w:b/>
        </w:rPr>
        <w:t>Report:</w:t>
      </w:r>
      <w:r>
        <w:t xml:space="preserve"> median and p75/p90 across completed packages, plus the distribution and count. Do not average only successful fast cases without reporting incomplete/cancelled work.</w:t>
      </w:r>
    </w:p>
    <w:p>
      <w:pPr>
        <w:pStyle w:val="ListBullet"/>
      </w:pPr>
      <w:r>
        <w:rPr>
          <w:b/>
        </w:rPr>
        <w:t>Clock policy:</w:t>
      </w:r>
      <w:r>
        <w:t xml:space="preserve"> retain total elapsed time as primary; separately derive active-work duration, user-wait time, approval-wait time, external-research wait and inactive periods only when these intervals have reliable start/end events. Never silently subtract waiting periods from the primary metric.</w:t>
      </w:r>
    </w:p>
    <w:p>
      <w:pPr>
        <w:pStyle w:val="ListBullet"/>
      </w:pPr>
      <w:r>
        <w:rPr>
          <w:b/>
        </w:rPr>
        <w:t>Eligibility:</w:t>
      </w:r>
      <w:r>
        <w:t xml:space="preserve"> accepted input and approved package version must both have authoritative server-side timestamps and a shared project ID. Exclude test/demo projects only through an explicit environment/project classification filter.</w:t>
      </w:r>
    </w:p>
    <w:p>
      <w:pPr>
        <w:pStyle w:val="ListBullet"/>
      </w:pPr>
      <w:r>
        <w:rPr>
          <w:b/>
        </w:rPr>
        <w:t>Owner:</w:t>
      </w:r>
      <w:r>
        <w:t xml:space="preserve"> Product; metric steward: Data/Analytics; approval event owner: Engineering.</w:t>
      </w:r>
    </w:p>
    <w:p>
      <w:pPr>
        <w:pStyle w:val="ListBullet"/>
      </w:pPr>
      <w:r>
        <w:rPr>
          <w:b/>
        </w:rPr>
        <w:t>Baseline/target:</w:t>
      </w:r>
      <w:r>
        <w:t xml:space="preserve"> TBD. Establish a representative baseline before claiming improvement; segment by project type, maturity and complexity.</w:t>
      </w:r>
    </w:p>
    <w:p>
      <w:pPr>
        <w:pStyle w:val="ListBullet"/>
      </w:pPr>
      <w:r>
        <w:rPr>
          <w:b/>
        </w:rPr>
        <w:t>Risk:</w:t>
      </w:r>
      <w:r>
        <w:t xml:space="preserve"> teams may game the metric by delaying the accepted-input event, approving incomplete packages, or excluding long-running projects. Mitigate with immutable server timestamps, completeness validation, cohort denominator, rejection/rework reporting and auditability.</w:t>
      </w:r>
    </w:p>
    <w:p>
      <w:pPr>
        <w:pStyle w:val="Heading1"/>
      </w:pPr>
      <w:r>
        <w:t>3. KPI tree</w:t>
      </w:r>
    </w:p>
    <w:p>
      <w:pPr>
        <w:ind w:left="259"/>
      </w:pPr>
      <w:r>
        <w:rPr>
          <w:rFonts w:ascii="Consolas" w:hAnsi="Consolas"/>
          <w:sz w:val="15"/>
        </w:rPr>
        <w:t>flowchart TD</w:t>
        <w:br/>
        <w:t xml:space="preserve">  NSM[NSM-001 Time to Human-Approved Story Development Package]</w:t>
        <w:br/>
        <w:t xml:space="preserve">  NSM --&gt; SPEED[Development speed]</w:t>
        <w:br/>
        <w:t xml:space="preserve">  NSM --&gt; QUALITY[Project quality and trust]</w:t>
        <w:br/>
        <w:t xml:space="preserve">  NSM --&gt; CAP[Team capacity and reuse]</w:t>
        <w:br/>
        <w:t xml:space="preserve">  SPEED --&gt; K1[KPI-002 Time to first useful candidate]</w:t>
        <w:br/>
        <w:t xml:space="preserve">  SPEED --&gt; K2[KPI-003 Active human effort per package]</w:t>
        <w:br/>
        <w:t xml:space="preserve">  SPEED --&gt; K3[KPI-004 Revision / rework cycles]</w:t>
        <w:br/>
        <w:t xml:space="preserve">  SPEED --&gt; K4[KPI-005 Approval waiting time]</w:t>
        <w:br/>
        <w:t xml:space="preserve">  QUALITY --&gt; K6[KPI-006 Package completeness]</w:t>
        <w:br/>
        <w:t xml:space="preserve">  QUALITY --&gt; K7[KPI-007 Human acceptance rate]</w:t>
        <w:br/>
        <w:t xml:space="preserve">  QUALITY --&gt; K8[KPI-008 Evidence traceability coverage]</w:t>
        <w:br/>
        <w:t xml:space="preserve">  QUALITY --&gt; K9[KPI-009 Continuity defect rate]</w:t>
        <w:br/>
        <w:t xml:space="preserve">  QUALITY --&gt; K10[KPI-010 Critical safety / Canon violations]</w:t>
        <w:br/>
        <w:t xml:space="preserve">  CAP --&gt; K11[KPI-011 Projects reaching approved package per team-period]</w:t>
        <w:br/>
        <w:t xml:space="preserve">  CAP --&gt; K12[KPI-012 Reuse of approved research / decisions]</w:t>
        <w:br/>
        <w:t xml:space="preserve">  CAP --&gt; K13[KPI-013 Context reconstruction effort]</w:t>
        <w:br/>
        <w:t xml:space="preserve">  NSM --&gt; COST[KPI-014 Cost per successful approved package]</w:t>
        <w:br/>
        <w:t xml:space="preserve">  COST --&gt; AI[AIM metrics: model/tool cost, latency, retry and failure]</w:t>
      </w:r>
    </w:p>
    <w:p>
      <w:pPr>
        <w:pStyle w:val="Heading1"/>
      </w:pPr>
      <w:r>
        <w:t>4. KPI catalogue and calculation contracts</w:t>
      </w:r>
    </w:p>
    <w:p>
      <w:r>
        <w:t xml:space="preserve">Metric values are not targets. Every numerical threshold below is </w:t>
      </w:r>
      <w:r>
        <w:rPr>
          <w:b/>
        </w:rPr>
        <w:t>TBD unless explicitly labelled proposed for approval</w:t>
      </w:r>
      <w:r>
        <w: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Mar>
              <w:top w:w="80" w:type="dxa"/>
              <w:start w:w="90" w:type="dxa"/>
              <w:bottom w:w="80" w:type="dxa"/>
              <w:end w:w="90" w:type="dxa"/>
            </w:tcMar>
            <w:shd w:fill="E9EEF5"/>
          </w:tcPr>
          <w:p>
            <w:pPr>
              <w:spacing w:after="0"/>
            </w:pPr>
            <w:r>
              <w:rPr>
                <w:b/>
                <w:color w:val="17365D"/>
                <w:sz w:val="14"/>
              </w:rPr>
            </w:r>
            <w:r>
              <w:rPr>
                <w:b/>
                <w:color w:val="17365D"/>
                <w:sz w:val="14"/>
              </w:rPr>
              <w:t>ID</w:t>
            </w:r>
          </w:p>
        </w:tc>
        <w:tc>
          <w:tcPr>
            <w:tcW w:type="dxa" w:w="1704"/>
            <w:vAlign w:val="center"/>
            <w:tcMar>
              <w:top w:w="80" w:type="dxa"/>
              <w:start w:w="90" w:type="dxa"/>
              <w:bottom w:w="80" w:type="dxa"/>
              <w:end w:w="90" w:type="dxa"/>
            </w:tcMar>
            <w:shd w:fill="E9EEF5"/>
          </w:tcPr>
          <w:p>
            <w:pPr>
              <w:spacing w:after="0"/>
            </w:pPr>
            <w:r>
              <w:rPr>
                <w:b/>
                <w:color w:val="17365D"/>
                <w:sz w:val="14"/>
              </w:rPr>
            </w:r>
            <w:r>
              <w:rPr>
                <w:b/>
                <w:color w:val="17365D"/>
                <w:sz w:val="14"/>
              </w:rPr>
              <w:t>Metric / meaning</w:t>
            </w:r>
          </w:p>
        </w:tc>
        <w:tc>
          <w:tcPr>
            <w:tcW w:type="dxa" w:w="1704"/>
            <w:vAlign w:val="center"/>
            <w:tcMar>
              <w:top w:w="80" w:type="dxa"/>
              <w:start w:w="90" w:type="dxa"/>
              <w:bottom w:w="80" w:type="dxa"/>
              <w:end w:w="90" w:type="dxa"/>
            </w:tcMar>
            <w:shd w:fill="E9EEF5"/>
          </w:tcPr>
          <w:p>
            <w:pPr>
              <w:spacing w:after="0"/>
            </w:pPr>
            <w:r>
              <w:rPr>
                <w:b/>
                <w:color w:val="17365D"/>
                <w:sz w:val="14"/>
              </w:rPr>
            </w:r>
            <w:r>
              <w:rPr>
                <w:b/>
                <w:color w:val="17365D"/>
                <w:sz w:val="14"/>
              </w:rPr>
              <w:t>Formula and grain</w:t>
            </w:r>
          </w:p>
        </w:tc>
        <w:tc>
          <w:tcPr>
            <w:tcW w:type="dxa" w:w="1704"/>
            <w:vAlign w:val="center"/>
            <w:tcMar>
              <w:top w:w="80" w:type="dxa"/>
              <w:start w:w="90" w:type="dxa"/>
              <w:bottom w:w="80" w:type="dxa"/>
              <w:end w:w="90" w:type="dxa"/>
            </w:tcMar>
            <w:shd w:fill="E9EEF5"/>
          </w:tcPr>
          <w:p>
            <w:pPr>
              <w:spacing w:after="0"/>
            </w:pPr>
            <w:r>
              <w:rPr>
                <w:b/>
                <w:color w:val="17365D"/>
                <w:sz w:val="14"/>
              </w:rPr>
            </w:r>
            <w:r>
              <w:rPr>
                <w:b/>
                <w:color w:val="17365D"/>
                <w:sz w:val="14"/>
              </w:rPr>
              <w:t>Source / model</w:t>
            </w:r>
          </w:p>
        </w:tc>
        <w:tc>
          <w:tcPr>
            <w:tcW w:type="dxa" w:w="1704"/>
            <w:vAlign w:val="center"/>
            <w:tcMar>
              <w:top w:w="80" w:type="dxa"/>
              <w:start w:w="90" w:type="dxa"/>
              <w:bottom w:w="80" w:type="dxa"/>
              <w:end w:w="90" w:type="dxa"/>
            </w:tcMar>
            <w:shd w:fill="E9EEF5"/>
          </w:tcPr>
          <w:p>
            <w:pPr>
              <w:spacing w:after="0"/>
            </w:pPr>
            <w:r>
              <w:rPr>
                <w:b/>
                <w:color w:val="17365D"/>
                <w:sz w:val="14"/>
              </w:rPr>
            </w:r>
            <w:r>
              <w:rPr>
                <w:b/>
                <w:color w:val="17365D"/>
                <w:sz w:val="14"/>
              </w:rPr>
              <w:t>Window &amp; refresh</w:t>
            </w:r>
          </w:p>
        </w:tc>
        <w:tc>
          <w:tcPr>
            <w:tcW w:type="dxa" w:w="1704"/>
            <w:vAlign w:val="center"/>
            <w:tcMar>
              <w:top w:w="80" w:type="dxa"/>
              <w:start w:w="90" w:type="dxa"/>
              <w:bottom w:w="80" w:type="dxa"/>
              <w:end w:w="90" w:type="dxa"/>
            </w:tcMar>
            <w:shd w:fill="E9EEF5"/>
          </w:tcPr>
          <w:p>
            <w:pPr>
              <w:spacing w:after="0"/>
            </w:pPr>
            <w:r>
              <w:rPr>
                <w:b/>
                <w:color w:val="17365D"/>
                <w:sz w:val="14"/>
              </w:rPr>
            </w:r>
            <w:r>
              <w:rPr>
                <w:b/>
                <w:color w:val="17365D"/>
                <w:sz w:val="14"/>
              </w:rPr>
              <w:t>Owner / status</w:t>
            </w:r>
          </w:p>
        </w:tc>
      </w:tr>
      <w:tr>
        <w:tc>
          <w:tcPr>
            <w:tcW w:type="dxa" w:w="1704"/>
            <w:vAlign w:val="center"/>
            <w:tcMar>
              <w:top w:w="80" w:type="dxa"/>
              <w:start w:w="90" w:type="dxa"/>
              <w:bottom w:w="80" w:type="dxa"/>
              <w:end w:w="90" w:type="dxa"/>
            </w:tcMar>
          </w:tcPr>
          <w:p>
            <w:pPr>
              <w:spacing w:after="0"/>
            </w:pPr>
            <w:r>
              <w:rPr>
                <w:sz w:val="14"/>
              </w:rPr>
            </w:r>
            <w:r>
              <w:rPr>
                <w:sz w:val="14"/>
              </w:rPr>
              <w:t>NSM-001</w:t>
            </w:r>
          </w:p>
        </w:tc>
        <w:tc>
          <w:tcPr>
            <w:tcW w:type="dxa" w:w="1704"/>
            <w:vAlign w:val="center"/>
            <w:tcMar>
              <w:top w:w="80" w:type="dxa"/>
              <w:start w:w="90" w:type="dxa"/>
              <w:bottom w:w="80" w:type="dxa"/>
              <w:end w:w="90" w:type="dxa"/>
            </w:tcMar>
          </w:tcPr>
          <w:p>
            <w:pPr>
              <w:spacing w:after="0"/>
            </w:pPr>
            <w:r>
              <w:rPr>
                <w:sz w:val="14"/>
              </w:rPr>
            </w:r>
            <w:r>
              <w:rPr>
                <w:sz w:val="14"/>
              </w:rPr>
              <w:t>Time to approved package</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approved_at - accepted_input_at</w:t>
            </w:r>
            <w:r>
              <w:rPr>
                <w:sz w:val="14"/>
              </w:rPr>
              <w:t>; one eligible project/package</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fact_project_milestone</w:t>
            </w:r>
            <w:r>
              <w:rPr>
                <w:sz w:val="14"/>
              </w:rPr>
              <w:t xml:space="preserve">, </w:t>
            </w:r>
            <w:r>
              <w:rPr>
                <w:rFonts w:ascii="Consolas" w:hAnsi="Consolas"/>
                <w:sz w:val="14"/>
              </w:rPr>
              <w:t>dim_project</w:t>
            </w:r>
          </w:p>
        </w:tc>
        <w:tc>
          <w:tcPr>
            <w:tcW w:type="dxa" w:w="1704"/>
            <w:vAlign w:val="center"/>
            <w:tcMar>
              <w:top w:w="80" w:type="dxa"/>
              <w:start w:w="90" w:type="dxa"/>
              <w:bottom w:w="80" w:type="dxa"/>
              <w:end w:w="90" w:type="dxa"/>
            </w:tcMar>
          </w:tcPr>
          <w:p>
            <w:pPr>
              <w:spacing w:after="0"/>
            </w:pPr>
            <w:r>
              <w:rPr>
                <w:sz w:val="14"/>
              </w:rPr>
            </w:r>
            <w:r>
              <w:rPr>
                <w:sz w:val="14"/>
              </w:rPr>
              <w:t>Cohort by approval date; daily provisional</w:t>
            </w:r>
          </w:p>
        </w:tc>
        <w:tc>
          <w:tcPr>
            <w:tcW w:type="dxa" w:w="1704"/>
            <w:vAlign w:val="center"/>
            <w:tcMar>
              <w:top w:w="80" w:type="dxa"/>
              <w:start w:w="90" w:type="dxa"/>
              <w:bottom w:w="80" w:type="dxa"/>
              <w:end w:w="90" w:type="dxa"/>
            </w:tcMar>
          </w:tcPr>
          <w:p>
            <w:pPr>
              <w:spacing w:after="0"/>
            </w:pPr>
            <w:r>
              <w:rPr>
                <w:sz w:val="14"/>
              </w:rPr>
            </w:r>
            <w:r>
              <w:rPr>
                <w:sz w:val="14"/>
              </w:rPr>
              <w:t>Product; source-backed definition, instrumentation proposed</w:t>
            </w:r>
          </w:p>
        </w:tc>
      </w:tr>
      <w:tr>
        <w:tc>
          <w:tcPr>
            <w:tcW w:type="dxa" w:w="1704"/>
            <w:vAlign w:val="center"/>
            <w:tcMar>
              <w:top w:w="80" w:type="dxa"/>
              <w:start w:w="90" w:type="dxa"/>
              <w:bottom w:w="80" w:type="dxa"/>
              <w:end w:w="90" w:type="dxa"/>
            </w:tcMar>
          </w:tcPr>
          <w:p>
            <w:pPr>
              <w:spacing w:after="0"/>
            </w:pPr>
            <w:r>
              <w:rPr>
                <w:sz w:val="14"/>
              </w:rPr>
            </w:r>
            <w:r>
              <w:rPr>
                <w:sz w:val="14"/>
              </w:rPr>
              <w:t>KPI-002</w:t>
            </w:r>
          </w:p>
        </w:tc>
        <w:tc>
          <w:tcPr>
            <w:tcW w:type="dxa" w:w="1704"/>
            <w:vAlign w:val="center"/>
            <w:tcMar>
              <w:top w:w="80" w:type="dxa"/>
              <w:start w:w="90" w:type="dxa"/>
              <w:bottom w:w="80" w:type="dxa"/>
              <w:end w:w="90" w:type="dxa"/>
            </w:tcMar>
          </w:tcPr>
          <w:p>
            <w:pPr>
              <w:spacing w:after="0"/>
            </w:pPr>
            <w:r>
              <w:rPr>
                <w:sz w:val="14"/>
              </w:rPr>
            </w:r>
            <w:r>
              <w:rPr>
                <w:sz w:val="14"/>
              </w:rPr>
              <w:t>Time to first useful candidate</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first_qualifying_candidate_at - accepted_input_at</w:t>
            </w:r>
            <w:r>
              <w:rPr>
                <w:sz w:val="14"/>
              </w:rPr>
              <w:t>; project</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fact_workflow_milestone</w:t>
            </w:r>
          </w:p>
        </w:tc>
        <w:tc>
          <w:tcPr>
            <w:tcW w:type="dxa" w:w="1704"/>
            <w:vAlign w:val="center"/>
            <w:tcMar>
              <w:top w:w="80" w:type="dxa"/>
              <w:start w:w="90" w:type="dxa"/>
              <w:bottom w:w="80" w:type="dxa"/>
              <w:end w:w="90" w:type="dxa"/>
            </w:tcMar>
          </w:tcPr>
          <w:p>
            <w:pPr>
              <w:spacing w:after="0"/>
            </w:pPr>
            <w:r>
              <w:rPr>
                <w:sz w:val="14"/>
              </w:rPr>
            </w:r>
            <w:r>
              <w:rPr>
                <w:sz w:val="14"/>
              </w:rPr>
              <w:t>Per project; daily</w:t>
            </w:r>
          </w:p>
        </w:tc>
        <w:tc>
          <w:tcPr>
            <w:tcW w:type="dxa" w:w="1704"/>
            <w:vAlign w:val="center"/>
            <w:tcMar>
              <w:top w:w="80" w:type="dxa"/>
              <w:start w:w="90" w:type="dxa"/>
              <w:bottom w:w="80" w:type="dxa"/>
              <w:end w:w="90" w:type="dxa"/>
            </w:tcMar>
          </w:tcPr>
          <w:p>
            <w:pPr>
              <w:spacing w:after="0"/>
            </w:pPr>
            <w:r>
              <w:rPr>
                <w:sz w:val="14"/>
              </w:rPr>
            </w:r>
            <w:r>
              <w:rPr>
                <w:sz w:val="14"/>
              </w:rPr>
              <w:t>Product + Creative; “useful” rubric must be approved</w:t>
            </w:r>
          </w:p>
        </w:tc>
      </w:tr>
      <w:tr>
        <w:tc>
          <w:tcPr>
            <w:tcW w:type="dxa" w:w="1704"/>
            <w:vAlign w:val="center"/>
            <w:tcMar>
              <w:top w:w="80" w:type="dxa"/>
              <w:start w:w="90" w:type="dxa"/>
              <w:bottom w:w="80" w:type="dxa"/>
              <w:end w:w="90" w:type="dxa"/>
            </w:tcMar>
          </w:tcPr>
          <w:p>
            <w:pPr>
              <w:spacing w:after="0"/>
            </w:pPr>
            <w:r>
              <w:rPr>
                <w:sz w:val="14"/>
              </w:rPr>
            </w:r>
            <w:r>
              <w:rPr>
                <w:sz w:val="14"/>
              </w:rPr>
              <w:t>KPI-003</w:t>
            </w:r>
          </w:p>
        </w:tc>
        <w:tc>
          <w:tcPr>
            <w:tcW w:type="dxa" w:w="1704"/>
            <w:vAlign w:val="center"/>
            <w:tcMar>
              <w:top w:w="80" w:type="dxa"/>
              <w:start w:w="90" w:type="dxa"/>
              <w:bottom w:w="80" w:type="dxa"/>
              <w:end w:w="90" w:type="dxa"/>
            </w:tcMar>
          </w:tcPr>
          <w:p>
            <w:pPr>
              <w:spacing w:after="0"/>
            </w:pPr>
            <w:r>
              <w:rPr>
                <w:sz w:val="14"/>
              </w:rPr>
            </w:r>
            <w:r>
              <w:rPr>
                <w:sz w:val="14"/>
              </w:rPr>
              <w:t>Active human effort per approved package</w:t>
            </w:r>
          </w:p>
        </w:tc>
        <w:tc>
          <w:tcPr>
            <w:tcW w:type="dxa" w:w="1704"/>
            <w:vAlign w:val="center"/>
            <w:tcMar>
              <w:top w:w="80" w:type="dxa"/>
              <w:start w:w="90" w:type="dxa"/>
              <w:bottom w:w="80" w:type="dxa"/>
              <w:end w:w="90" w:type="dxa"/>
            </w:tcMar>
          </w:tcPr>
          <w:p>
            <w:pPr>
              <w:spacing w:after="0"/>
            </w:pPr>
            <w:r>
              <w:rPr>
                <w:sz w:val="14"/>
              </w:rPr>
            </w:r>
            <w:r>
              <w:rPr>
                <w:sz w:val="14"/>
              </w:rPr>
              <w:t>Sum of attributable human work intervals; hours/package</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fact_work_session</w:t>
            </w:r>
            <w:r>
              <w:rPr>
                <w:sz w:val="14"/>
              </w:rPr>
              <w:t xml:space="preserve">, </w:t>
            </w:r>
            <w:r>
              <w:rPr>
                <w:rFonts w:ascii="Consolas" w:hAnsi="Consolas"/>
                <w:sz w:val="14"/>
              </w:rPr>
              <w:t>fact_project_milestone</w:t>
            </w:r>
          </w:p>
        </w:tc>
        <w:tc>
          <w:tcPr>
            <w:tcW w:type="dxa" w:w="1704"/>
            <w:vAlign w:val="center"/>
            <w:tcMar>
              <w:top w:w="80" w:type="dxa"/>
              <w:start w:w="90" w:type="dxa"/>
              <w:bottom w:w="80" w:type="dxa"/>
              <w:end w:w="90" w:type="dxa"/>
            </w:tcMar>
          </w:tcPr>
          <w:p>
            <w:pPr>
              <w:spacing w:after="0"/>
            </w:pPr>
            <w:r>
              <w:rPr>
                <w:sz w:val="14"/>
              </w:rPr>
            </w:r>
            <w:r>
              <w:rPr>
                <w:sz w:val="14"/>
              </w:rPr>
              <w:t>Per project; weekly</w:t>
            </w:r>
          </w:p>
        </w:tc>
        <w:tc>
          <w:tcPr>
            <w:tcW w:type="dxa" w:w="1704"/>
            <w:vAlign w:val="center"/>
            <w:tcMar>
              <w:top w:w="80" w:type="dxa"/>
              <w:start w:w="90" w:type="dxa"/>
              <w:bottom w:w="80" w:type="dxa"/>
              <w:end w:w="90" w:type="dxa"/>
            </w:tcMar>
          </w:tcPr>
          <w:p>
            <w:pPr>
              <w:spacing w:after="0"/>
            </w:pPr>
            <w:r>
              <w:rPr>
                <w:sz w:val="14"/>
              </w:rPr>
            </w:r>
            <w:r>
              <w:rPr>
                <w:sz w:val="14"/>
              </w:rPr>
              <w:t>Product; event capture and work-session semantics TBD</w:t>
            </w:r>
          </w:p>
        </w:tc>
      </w:tr>
      <w:tr>
        <w:tc>
          <w:tcPr>
            <w:tcW w:type="dxa" w:w="1704"/>
            <w:vAlign w:val="center"/>
            <w:tcMar>
              <w:top w:w="80" w:type="dxa"/>
              <w:start w:w="90" w:type="dxa"/>
              <w:bottom w:w="80" w:type="dxa"/>
              <w:end w:w="90" w:type="dxa"/>
            </w:tcMar>
          </w:tcPr>
          <w:p>
            <w:pPr>
              <w:spacing w:after="0"/>
            </w:pPr>
            <w:r>
              <w:rPr>
                <w:sz w:val="14"/>
              </w:rPr>
            </w:r>
            <w:r>
              <w:rPr>
                <w:sz w:val="14"/>
              </w:rPr>
              <w:t>KPI-004</w:t>
            </w:r>
          </w:p>
        </w:tc>
        <w:tc>
          <w:tcPr>
            <w:tcW w:type="dxa" w:w="1704"/>
            <w:vAlign w:val="center"/>
            <w:tcMar>
              <w:top w:w="80" w:type="dxa"/>
              <w:start w:w="90" w:type="dxa"/>
              <w:bottom w:w="80" w:type="dxa"/>
              <w:end w:w="90" w:type="dxa"/>
            </w:tcMar>
          </w:tcPr>
          <w:p>
            <w:pPr>
              <w:spacing w:after="0"/>
            </w:pPr>
            <w:r>
              <w:rPr>
                <w:sz w:val="14"/>
              </w:rPr>
            </w:r>
            <w:r>
              <w:rPr>
                <w:sz w:val="14"/>
              </w:rPr>
              <w:t>Revision/rework cycles</w:t>
            </w:r>
          </w:p>
        </w:tc>
        <w:tc>
          <w:tcPr>
            <w:tcW w:type="dxa" w:w="1704"/>
            <w:vAlign w:val="center"/>
            <w:tcMar>
              <w:top w:w="80" w:type="dxa"/>
              <w:start w:w="90" w:type="dxa"/>
              <w:bottom w:w="80" w:type="dxa"/>
              <w:end w:w="90" w:type="dxa"/>
            </w:tcMar>
          </w:tcPr>
          <w:p>
            <w:pPr>
              <w:spacing w:after="0"/>
            </w:pPr>
            <w:r>
              <w:rPr>
                <w:sz w:val="14"/>
              </w:rPr>
            </w:r>
            <w:r>
              <w:rPr>
                <w:sz w:val="14"/>
              </w:rPr>
              <w:t>Count of substantive revision cycles before approval; package</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fact_artifact_revision</w:t>
            </w:r>
            <w:r>
              <w:rPr>
                <w:sz w:val="14"/>
              </w:rPr>
              <w:t xml:space="preserve">, </w:t>
            </w:r>
            <w:r>
              <w:rPr>
                <w:rFonts w:ascii="Consolas" w:hAnsi="Consolas"/>
                <w:sz w:val="14"/>
              </w:rPr>
              <w:t>fact_review_decision</w:t>
            </w:r>
          </w:p>
        </w:tc>
        <w:tc>
          <w:tcPr>
            <w:tcW w:type="dxa" w:w="1704"/>
            <w:vAlign w:val="center"/>
            <w:tcMar>
              <w:top w:w="80" w:type="dxa"/>
              <w:start w:w="90" w:type="dxa"/>
              <w:bottom w:w="80" w:type="dxa"/>
              <w:end w:w="90" w:type="dxa"/>
            </w:tcMar>
          </w:tcPr>
          <w:p>
            <w:pPr>
              <w:spacing w:after="0"/>
            </w:pPr>
            <w:r>
              <w:rPr>
                <w:sz w:val="14"/>
              </w:rPr>
            </w:r>
            <w:r>
              <w:rPr>
                <w:sz w:val="14"/>
              </w:rPr>
              <w:t>Per package; weekly</w:t>
            </w:r>
          </w:p>
        </w:tc>
        <w:tc>
          <w:tcPr>
            <w:tcW w:type="dxa" w:w="1704"/>
            <w:vAlign w:val="center"/>
            <w:tcMar>
              <w:top w:w="80" w:type="dxa"/>
              <w:start w:w="90" w:type="dxa"/>
              <w:bottom w:w="80" w:type="dxa"/>
              <w:end w:w="90" w:type="dxa"/>
            </w:tcMar>
          </w:tcPr>
          <w:p>
            <w:pPr>
              <w:spacing w:after="0"/>
            </w:pPr>
            <w:r>
              <w:rPr>
                <w:sz w:val="14"/>
              </w:rPr>
            </w:r>
            <w:r>
              <w:rPr>
                <w:sz w:val="14"/>
              </w:rPr>
              <w:t>Creative + Data; define substantive revision taxonomy</w:t>
            </w:r>
          </w:p>
        </w:tc>
      </w:tr>
      <w:tr>
        <w:tc>
          <w:tcPr>
            <w:tcW w:type="dxa" w:w="1704"/>
            <w:vAlign w:val="center"/>
            <w:tcMar>
              <w:top w:w="80" w:type="dxa"/>
              <w:start w:w="90" w:type="dxa"/>
              <w:bottom w:w="80" w:type="dxa"/>
              <w:end w:w="90" w:type="dxa"/>
            </w:tcMar>
          </w:tcPr>
          <w:p>
            <w:pPr>
              <w:spacing w:after="0"/>
            </w:pPr>
            <w:r>
              <w:rPr>
                <w:sz w:val="14"/>
              </w:rPr>
            </w:r>
            <w:r>
              <w:rPr>
                <w:sz w:val="14"/>
              </w:rPr>
              <w:t>KPI-005</w:t>
            </w:r>
          </w:p>
        </w:tc>
        <w:tc>
          <w:tcPr>
            <w:tcW w:type="dxa" w:w="1704"/>
            <w:vAlign w:val="center"/>
            <w:tcMar>
              <w:top w:w="80" w:type="dxa"/>
              <w:start w:w="90" w:type="dxa"/>
              <w:bottom w:w="80" w:type="dxa"/>
              <w:end w:w="90" w:type="dxa"/>
            </w:tcMar>
          </w:tcPr>
          <w:p>
            <w:pPr>
              <w:spacing w:after="0"/>
            </w:pPr>
            <w:r>
              <w:rPr>
                <w:sz w:val="14"/>
              </w:rPr>
            </w:r>
            <w:r>
              <w:rPr>
                <w:sz w:val="14"/>
              </w:rPr>
              <w:t>Approval wait</w:t>
            </w:r>
          </w:p>
        </w:tc>
        <w:tc>
          <w:tcPr>
            <w:tcW w:type="dxa" w:w="1704"/>
            <w:vAlign w:val="center"/>
            <w:tcMar>
              <w:top w:w="80" w:type="dxa"/>
              <w:start w:w="90" w:type="dxa"/>
              <w:bottom w:w="80" w:type="dxa"/>
              <w:end w:w="90" w:type="dxa"/>
            </w:tcMar>
          </w:tcPr>
          <w:p>
            <w:pPr>
              <w:spacing w:after="0"/>
            </w:pPr>
            <w:r>
              <w:rPr>
                <w:sz w:val="14"/>
              </w:rPr>
            </w:r>
            <w:r>
              <w:rPr>
                <w:sz w:val="14"/>
              </w:rPr>
              <w:t>Sum of intervals from submitted-for-review to decision; package</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fact_review_decision</w:t>
            </w:r>
          </w:p>
        </w:tc>
        <w:tc>
          <w:tcPr>
            <w:tcW w:type="dxa" w:w="1704"/>
            <w:vAlign w:val="center"/>
            <w:tcMar>
              <w:top w:w="80" w:type="dxa"/>
              <w:start w:w="90" w:type="dxa"/>
              <w:bottom w:w="80" w:type="dxa"/>
              <w:end w:w="90" w:type="dxa"/>
            </w:tcMar>
          </w:tcPr>
          <w:p>
            <w:pPr>
              <w:spacing w:after="0"/>
            </w:pPr>
            <w:r>
              <w:rPr>
                <w:sz w:val="14"/>
              </w:rPr>
            </w:r>
            <w:r>
              <w:rPr>
                <w:sz w:val="14"/>
              </w:rPr>
              <w:t>Per package; daily</w:t>
            </w:r>
          </w:p>
        </w:tc>
        <w:tc>
          <w:tcPr>
            <w:tcW w:type="dxa" w:w="1704"/>
            <w:vAlign w:val="center"/>
            <w:tcMar>
              <w:top w:w="80" w:type="dxa"/>
              <w:start w:w="90" w:type="dxa"/>
              <w:bottom w:w="80" w:type="dxa"/>
              <w:end w:w="90" w:type="dxa"/>
            </w:tcMar>
          </w:tcPr>
          <w:p>
            <w:pPr>
              <w:spacing w:after="0"/>
            </w:pPr>
            <w:r>
              <w:rPr>
                <w:sz w:val="14"/>
              </w:rPr>
            </w:r>
            <w:r>
              <w:rPr>
                <w:sz w:val="14"/>
              </w:rPr>
              <w:t>Product/Content; pauses only reported separately</w:t>
            </w:r>
          </w:p>
        </w:tc>
      </w:tr>
      <w:tr>
        <w:tc>
          <w:tcPr>
            <w:tcW w:type="dxa" w:w="1704"/>
            <w:vAlign w:val="center"/>
            <w:tcMar>
              <w:top w:w="80" w:type="dxa"/>
              <w:start w:w="90" w:type="dxa"/>
              <w:bottom w:w="80" w:type="dxa"/>
              <w:end w:w="90" w:type="dxa"/>
            </w:tcMar>
          </w:tcPr>
          <w:p>
            <w:pPr>
              <w:spacing w:after="0"/>
            </w:pPr>
            <w:r>
              <w:rPr>
                <w:sz w:val="14"/>
              </w:rPr>
            </w:r>
            <w:r>
              <w:rPr>
                <w:sz w:val="14"/>
              </w:rPr>
              <w:t>KPI-006</w:t>
            </w:r>
          </w:p>
        </w:tc>
        <w:tc>
          <w:tcPr>
            <w:tcW w:type="dxa" w:w="1704"/>
            <w:vAlign w:val="center"/>
            <w:tcMar>
              <w:top w:w="80" w:type="dxa"/>
              <w:start w:w="90" w:type="dxa"/>
              <w:bottom w:w="80" w:type="dxa"/>
              <w:end w:w="90" w:type="dxa"/>
            </w:tcMar>
          </w:tcPr>
          <w:p>
            <w:pPr>
              <w:spacing w:after="0"/>
            </w:pPr>
            <w:r>
              <w:rPr>
                <w:sz w:val="14"/>
              </w:rPr>
            </w:r>
            <w:r>
              <w:rPr>
                <w:sz w:val="14"/>
              </w:rPr>
              <w:t>Package completeness</w:t>
            </w:r>
          </w:p>
        </w:tc>
        <w:tc>
          <w:tcPr>
            <w:tcW w:type="dxa" w:w="1704"/>
            <w:vAlign w:val="center"/>
            <w:tcMar>
              <w:top w:w="80" w:type="dxa"/>
              <w:start w:w="90" w:type="dxa"/>
              <w:bottom w:w="80" w:type="dxa"/>
              <w:end w:w="90" w:type="dxa"/>
            </w:tcMar>
          </w:tcPr>
          <w:p>
            <w:pPr>
              <w:spacing w:after="0"/>
            </w:pPr>
            <w:r>
              <w:rPr>
                <w:sz w:val="14"/>
              </w:rPr>
            </w:r>
            <w:r>
              <w:rPr>
                <w:sz w:val="14"/>
              </w:rPr>
              <w:t>Required approved sections present / required sections for applicable package template</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fact_package_section</w:t>
            </w:r>
            <w:r>
              <w:rPr>
                <w:sz w:val="14"/>
              </w:rPr>
              <w:t xml:space="preserve">, </w:t>
            </w:r>
            <w:r>
              <w:rPr>
                <w:rFonts w:ascii="Consolas" w:hAnsi="Consolas"/>
                <w:sz w:val="14"/>
              </w:rPr>
              <w:t>dim_package_template</w:t>
            </w:r>
          </w:p>
        </w:tc>
        <w:tc>
          <w:tcPr>
            <w:tcW w:type="dxa" w:w="1704"/>
            <w:vAlign w:val="center"/>
            <w:tcMar>
              <w:top w:w="80" w:type="dxa"/>
              <w:start w:w="90" w:type="dxa"/>
              <w:bottom w:w="80" w:type="dxa"/>
              <w:end w:w="90" w:type="dxa"/>
            </w:tcMar>
          </w:tcPr>
          <w:p>
            <w:pPr>
              <w:spacing w:after="0"/>
            </w:pPr>
            <w:r>
              <w:rPr>
                <w:sz w:val="14"/>
              </w:rPr>
            </w:r>
            <w:r>
              <w:rPr>
                <w:sz w:val="14"/>
              </w:rPr>
              <w:t>At package version; each commit</w:t>
            </w:r>
          </w:p>
        </w:tc>
        <w:tc>
          <w:tcPr>
            <w:tcW w:type="dxa" w:w="1704"/>
            <w:vAlign w:val="center"/>
            <w:tcMar>
              <w:top w:w="80" w:type="dxa"/>
              <w:start w:w="90" w:type="dxa"/>
              <w:bottom w:w="80" w:type="dxa"/>
              <w:end w:w="90" w:type="dxa"/>
            </w:tcMar>
          </w:tcPr>
          <w:p>
            <w:pPr>
              <w:spacing w:after="0"/>
            </w:pPr>
            <w:r>
              <w:rPr>
                <w:sz w:val="14"/>
              </w:rPr>
            </w:r>
            <w:r>
              <w:rPr>
                <w:sz w:val="14"/>
              </w:rPr>
              <w:t>Product + Creative; template/version required</w:t>
            </w:r>
          </w:p>
        </w:tc>
      </w:tr>
      <w:tr>
        <w:tc>
          <w:tcPr>
            <w:tcW w:type="dxa" w:w="1704"/>
            <w:vAlign w:val="center"/>
            <w:tcMar>
              <w:top w:w="80" w:type="dxa"/>
              <w:start w:w="90" w:type="dxa"/>
              <w:bottom w:w="80" w:type="dxa"/>
              <w:end w:w="90" w:type="dxa"/>
            </w:tcMar>
          </w:tcPr>
          <w:p>
            <w:pPr>
              <w:spacing w:after="0"/>
            </w:pPr>
            <w:r>
              <w:rPr>
                <w:sz w:val="14"/>
              </w:rPr>
            </w:r>
            <w:r>
              <w:rPr>
                <w:sz w:val="14"/>
              </w:rPr>
              <w:t>KPI-007</w:t>
            </w:r>
          </w:p>
        </w:tc>
        <w:tc>
          <w:tcPr>
            <w:tcW w:type="dxa" w:w="1704"/>
            <w:vAlign w:val="center"/>
            <w:tcMar>
              <w:top w:w="80" w:type="dxa"/>
              <w:start w:w="90" w:type="dxa"/>
              <w:bottom w:w="80" w:type="dxa"/>
              <w:end w:w="90" w:type="dxa"/>
            </w:tcMar>
          </w:tcPr>
          <w:p>
            <w:pPr>
              <w:spacing w:after="0"/>
            </w:pPr>
            <w:r>
              <w:rPr>
                <w:sz w:val="14"/>
              </w:rPr>
            </w:r>
            <w:r>
              <w:rPr>
                <w:sz w:val="14"/>
              </w:rPr>
              <w:t>Human acceptance rate</w:t>
            </w:r>
          </w:p>
        </w:tc>
        <w:tc>
          <w:tcPr>
            <w:tcW w:type="dxa" w:w="1704"/>
            <w:vAlign w:val="center"/>
            <w:tcMar>
              <w:top w:w="80" w:type="dxa"/>
              <w:start w:w="90" w:type="dxa"/>
              <w:bottom w:w="80" w:type="dxa"/>
              <w:end w:w="90" w:type="dxa"/>
            </w:tcMar>
          </w:tcPr>
          <w:p>
            <w:pPr>
              <w:spacing w:after="0"/>
            </w:pPr>
            <w:r>
              <w:rPr>
                <w:sz w:val="14"/>
              </w:rPr>
            </w:r>
            <w:r>
              <w:rPr>
                <w:sz w:val="14"/>
              </w:rPr>
              <w:t>Accepted candidate decisions / all explicit accept-or-reject decisions; candidate</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fact_candidate_decision</w:t>
            </w:r>
          </w:p>
        </w:tc>
        <w:tc>
          <w:tcPr>
            <w:tcW w:type="dxa" w:w="1704"/>
            <w:vAlign w:val="center"/>
            <w:tcMar>
              <w:top w:w="80" w:type="dxa"/>
              <w:start w:w="90" w:type="dxa"/>
              <w:bottom w:w="80" w:type="dxa"/>
              <w:end w:w="90" w:type="dxa"/>
            </w:tcMar>
          </w:tcPr>
          <w:p>
            <w:pPr>
              <w:spacing w:after="0"/>
            </w:pPr>
            <w:r>
              <w:rPr>
                <w:sz w:val="14"/>
              </w:rPr>
            </w:r>
            <w:r>
              <w:rPr>
                <w:sz w:val="14"/>
              </w:rPr>
              <w:t>Weekly/monthly; cohort by decision</w:t>
            </w:r>
          </w:p>
        </w:tc>
        <w:tc>
          <w:tcPr>
            <w:tcW w:type="dxa" w:w="1704"/>
            <w:vAlign w:val="center"/>
            <w:tcMar>
              <w:top w:w="80" w:type="dxa"/>
              <w:start w:w="90" w:type="dxa"/>
              <w:bottom w:w="80" w:type="dxa"/>
              <w:end w:w="90" w:type="dxa"/>
            </w:tcMar>
          </w:tcPr>
          <w:p>
            <w:pPr>
              <w:spacing w:after="0"/>
            </w:pPr>
            <w:r>
              <w:rPr>
                <w:sz w:val="14"/>
              </w:rPr>
            </w:r>
            <w:r>
              <w:rPr>
                <w:sz w:val="14"/>
              </w:rPr>
              <w:t>Product + Creative; absence of decision is not rejection</w:t>
            </w:r>
          </w:p>
        </w:tc>
      </w:tr>
      <w:tr>
        <w:tc>
          <w:tcPr>
            <w:tcW w:type="dxa" w:w="1704"/>
            <w:vAlign w:val="center"/>
            <w:tcMar>
              <w:top w:w="80" w:type="dxa"/>
              <w:start w:w="90" w:type="dxa"/>
              <w:bottom w:w="80" w:type="dxa"/>
              <w:end w:w="90" w:type="dxa"/>
            </w:tcMar>
          </w:tcPr>
          <w:p>
            <w:pPr>
              <w:spacing w:after="0"/>
            </w:pPr>
            <w:r>
              <w:rPr>
                <w:sz w:val="14"/>
              </w:rPr>
            </w:r>
            <w:r>
              <w:rPr>
                <w:sz w:val="14"/>
              </w:rPr>
              <w:t>KPI-008</w:t>
            </w:r>
          </w:p>
        </w:tc>
        <w:tc>
          <w:tcPr>
            <w:tcW w:type="dxa" w:w="1704"/>
            <w:vAlign w:val="center"/>
            <w:tcMar>
              <w:top w:w="80" w:type="dxa"/>
              <w:start w:w="90" w:type="dxa"/>
              <w:bottom w:w="80" w:type="dxa"/>
              <w:end w:w="90" w:type="dxa"/>
            </w:tcMar>
          </w:tcPr>
          <w:p>
            <w:pPr>
              <w:spacing w:after="0"/>
            </w:pPr>
            <w:r>
              <w:rPr>
                <w:sz w:val="14"/>
              </w:rPr>
            </w:r>
            <w:r>
              <w:rPr>
                <w:sz w:val="14"/>
              </w:rPr>
              <w:t>Evidence traceability coverage</w:t>
            </w:r>
          </w:p>
        </w:tc>
        <w:tc>
          <w:tcPr>
            <w:tcW w:type="dxa" w:w="1704"/>
            <w:vAlign w:val="center"/>
            <w:tcMar>
              <w:top w:w="80" w:type="dxa"/>
              <w:start w:w="90" w:type="dxa"/>
              <w:bottom w:w="80" w:type="dxa"/>
              <w:end w:w="90" w:type="dxa"/>
            </w:tcMar>
          </w:tcPr>
          <w:p>
            <w:pPr>
              <w:spacing w:after="0"/>
            </w:pPr>
            <w:r>
              <w:rPr>
                <w:sz w:val="14"/>
              </w:rPr>
            </w:r>
            <w:r>
              <w:rPr>
                <w:sz w:val="14"/>
              </w:rPr>
              <w:t>Factual claims requiring evidence with valid source links / all sampled claims requiring evidence</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fact_claim_evaluation</w:t>
            </w:r>
            <w:r>
              <w:rPr>
                <w:sz w:val="14"/>
              </w:rPr>
              <w:t xml:space="preserve">, </w:t>
            </w:r>
            <w:r>
              <w:rPr>
                <w:rFonts w:ascii="Consolas" w:hAnsi="Consolas"/>
                <w:sz w:val="14"/>
              </w:rPr>
              <w:t>bridge_claim_evidence</w:t>
            </w:r>
          </w:p>
        </w:tc>
        <w:tc>
          <w:tcPr>
            <w:tcW w:type="dxa" w:w="1704"/>
            <w:vAlign w:val="center"/>
            <w:tcMar>
              <w:top w:w="80" w:type="dxa"/>
              <w:start w:w="90" w:type="dxa"/>
              <w:bottom w:w="80" w:type="dxa"/>
              <w:end w:w="90" w:type="dxa"/>
            </w:tcMar>
          </w:tcPr>
          <w:p>
            <w:pPr>
              <w:spacing w:after="0"/>
            </w:pPr>
            <w:r>
              <w:rPr>
                <w:sz w:val="14"/>
              </w:rPr>
            </w:r>
            <w:r>
              <w:rPr>
                <w:sz w:val="14"/>
              </w:rPr>
              <w:t>Evaluation batch; per release and monthly</w:t>
            </w:r>
          </w:p>
        </w:tc>
        <w:tc>
          <w:tcPr>
            <w:tcW w:type="dxa" w:w="1704"/>
            <w:vAlign w:val="center"/>
            <w:tcMar>
              <w:top w:w="80" w:type="dxa"/>
              <w:start w:w="90" w:type="dxa"/>
              <w:bottom w:w="80" w:type="dxa"/>
              <w:end w:w="90" w:type="dxa"/>
            </w:tcMar>
          </w:tcPr>
          <w:p>
            <w:pPr>
              <w:spacing w:after="0"/>
            </w:pPr>
            <w:r>
              <w:rPr>
                <w:sz w:val="14"/>
              </w:rPr>
            </w:r>
            <w:r>
              <w:rPr>
                <w:sz w:val="14"/>
              </w:rPr>
              <w:t>Knowledge Management; sampling protocol required</w:t>
            </w:r>
          </w:p>
        </w:tc>
      </w:tr>
      <w:tr>
        <w:tc>
          <w:tcPr>
            <w:tcW w:type="dxa" w:w="1704"/>
            <w:vAlign w:val="center"/>
            <w:tcMar>
              <w:top w:w="80" w:type="dxa"/>
              <w:start w:w="90" w:type="dxa"/>
              <w:bottom w:w="80" w:type="dxa"/>
              <w:end w:w="90" w:type="dxa"/>
            </w:tcMar>
          </w:tcPr>
          <w:p>
            <w:pPr>
              <w:spacing w:after="0"/>
            </w:pPr>
            <w:r>
              <w:rPr>
                <w:sz w:val="14"/>
              </w:rPr>
            </w:r>
            <w:r>
              <w:rPr>
                <w:sz w:val="14"/>
              </w:rPr>
              <w:t>KPI-009</w:t>
            </w:r>
          </w:p>
        </w:tc>
        <w:tc>
          <w:tcPr>
            <w:tcW w:type="dxa" w:w="1704"/>
            <w:vAlign w:val="center"/>
            <w:tcMar>
              <w:top w:w="80" w:type="dxa"/>
              <w:start w:w="90" w:type="dxa"/>
              <w:bottom w:w="80" w:type="dxa"/>
              <w:end w:w="90" w:type="dxa"/>
            </w:tcMar>
          </w:tcPr>
          <w:p>
            <w:pPr>
              <w:spacing w:after="0"/>
            </w:pPr>
            <w:r>
              <w:rPr>
                <w:sz w:val="14"/>
              </w:rPr>
            </w:r>
            <w:r>
              <w:rPr>
                <w:sz w:val="14"/>
              </w:rPr>
              <w:t>Continuity defect rate</w:t>
            </w:r>
          </w:p>
        </w:tc>
        <w:tc>
          <w:tcPr>
            <w:tcW w:type="dxa" w:w="1704"/>
            <w:vAlign w:val="center"/>
            <w:tcMar>
              <w:top w:w="80" w:type="dxa"/>
              <w:start w:w="90" w:type="dxa"/>
              <w:bottom w:w="80" w:type="dxa"/>
              <w:end w:w="90" w:type="dxa"/>
            </w:tcMar>
          </w:tcPr>
          <w:p>
            <w:pPr>
              <w:spacing w:after="0"/>
            </w:pPr>
            <w:r>
              <w:rPr>
                <w:sz w:val="14"/>
              </w:rPr>
            </w:r>
            <w:r>
              <w:rPr>
                <w:sz w:val="14"/>
              </w:rPr>
              <w:t>Confirmed continuity defects / reviewed artifacts or checks; specify denominator per report</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fact_continuity_check</w:t>
            </w:r>
            <w:r>
              <w:rPr>
                <w:sz w:val="14"/>
              </w:rPr>
              <w:t xml:space="preserve">, </w:t>
            </w:r>
            <w:r>
              <w:rPr>
                <w:rFonts w:ascii="Consolas" w:hAnsi="Consolas"/>
                <w:sz w:val="14"/>
              </w:rPr>
              <w:t>fact_defect</w:t>
            </w:r>
          </w:p>
        </w:tc>
        <w:tc>
          <w:tcPr>
            <w:tcW w:type="dxa" w:w="1704"/>
            <w:vAlign w:val="center"/>
            <w:tcMar>
              <w:top w:w="80" w:type="dxa"/>
              <w:start w:w="90" w:type="dxa"/>
              <w:bottom w:w="80" w:type="dxa"/>
              <w:end w:w="90" w:type="dxa"/>
            </w:tcMar>
          </w:tcPr>
          <w:p>
            <w:pPr>
              <w:spacing w:after="0"/>
            </w:pPr>
            <w:r>
              <w:rPr>
                <w:sz w:val="14"/>
              </w:rPr>
            </w:r>
            <w:r>
              <w:rPr>
                <w:sz w:val="14"/>
              </w:rPr>
              <w:t>Per release/project; weekly</w:t>
            </w:r>
          </w:p>
        </w:tc>
        <w:tc>
          <w:tcPr>
            <w:tcW w:type="dxa" w:w="1704"/>
            <w:vAlign w:val="center"/>
            <w:tcMar>
              <w:top w:w="80" w:type="dxa"/>
              <w:start w:w="90" w:type="dxa"/>
              <w:bottom w:w="80" w:type="dxa"/>
              <w:end w:w="90" w:type="dxa"/>
            </w:tcMar>
          </w:tcPr>
          <w:p>
            <w:pPr>
              <w:spacing w:after="0"/>
            </w:pPr>
            <w:r>
              <w:rPr>
                <w:sz w:val="14"/>
              </w:rPr>
            </w:r>
            <w:r>
              <w:rPr>
                <w:sz w:val="14"/>
              </w:rPr>
              <w:t>Creative + KM; severity-weighted companion required</w:t>
            </w:r>
          </w:p>
        </w:tc>
      </w:tr>
      <w:tr>
        <w:tc>
          <w:tcPr>
            <w:tcW w:type="dxa" w:w="1704"/>
            <w:vAlign w:val="center"/>
            <w:tcMar>
              <w:top w:w="80" w:type="dxa"/>
              <w:start w:w="90" w:type="dxa"/>
              <w:bottom w:w="80" w:type="dxa"/>
              <w:end w:w="90" w:type="dxa"/>
            </w:tcMar>
          </w:tcPr>
          <w:p>
            <w:pPr>
              <w:spacing w:after="0"/>
            </w:pPr>
            <w:r>
              <w:rPr>
                <w:sz w:val="14"/>
              </w:rPr>
            </w:r>
            <w:r>
              <w:rPr>
                <w:sz w:val="14"/>
              </w:rPr>
              <w:t>KPI-010</w:t>
            </w:r>
          </w:p>
        </w:tc>
        <w:tc>
          <w:tcPr>
            <w:tcW w:type="dxa" w:w="1704"/>
            <w:vAlign w:val="center"/>
            <w:tcMar>
              <w:top w:w="80" w:type="dxa"/>
              <w:start w:w="90" w:type="dxa"/>
              <w:bottom w:w="80" w:type="dxa"/>
              <w:end w:w="90" w:type="dxa"/>
            </w:tcMar>
          </w:tcPr>
          <w:p>
            <w:pPr>
              <w:spacing w:after="0"/>
            </w:pPr>
            <w:r>
              <w:rPr>
                <w:sz w:val="14"/>
              </w:rPr>
            </w:r>
            <w:r>
              <w:rPr>
                <w:sz w:val="14"/>
              </w:rPr>
              <w:t>Critical safety / Canon violations</w:t>
            </w:r>
          </w:p>
        </w:tc>
        <w:tc>
          <w:tcPr>
            <w:tcW w:type="dxa" w:w="1704"/>
            <w:vAlign w:val="center"/>
            <w:tcMar>
              <w:top w:w="80" w:type="dxa"/>
              <w:start w:w="90" w:type="dxa"/>
              <w:bottom w:w="80" w:type="dxa"/>
              <w:end w:w="90" w:type="dxa"/>
            </w:tcMar>
          </w:tcPr>
          <w:p>
            <w:pPr>
              <w:spacing w:after="0"/>
            </w:pPr>
            <w:r>
              <w:rPr>
                <w:sz w:val="14"/>
              </w:rPr>
            </w:r>
            <w:r>
              <w:rPr>
                <w:sz w:val="14"/>
              </w:rPr>
              <w:t>Count of confirmed critical events; do not average</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fact_security_ai_event</w:t>
            </w:r>
            <w:r>
              <w:rPr>
                <w:sz w:val="14"/>
              </w:rPr>
              <w:t>, audit records</w:t>
            </w:r>
          </w:p>
        </w:tc>
        <w:tc>
          <w:tcPr>
            <w:tcW w:type="dxa" w:w="1704"/>
            <w:vAlign w:val="center"/>
            <w:tcMar>
              <w:top w:w="80" w:type="dxa"/>
              <w:start w:w="90" w:type="dxa"/>
              <w:bottom w:w="80" w:type="dxa"/>
              <w:end w:w="90" w:type="dxa"/>
            </w:tcMar>
          </w:tcPr>
          <w:p>
            <w:pPr>
              <w:spacing w:after="0"/>
            </w:pPr>
            <w:r>
              <w:rPr>
                <w:sz w:val="14"/>
              </w:rPr>
            </w:r>
            <w:r>
              <w:rPr>
                <w:sz w:val="14"/>
              </w:rPr>
              <w:t>Near-real-time where supported</w:t>
            </w:r>
          </w:p>
        </w:tc>
        <w:tc>
          <w:tcPr>
            <w:tcW w:type="dxa" w:w="1704"/>
            <w:vAlign w:val="center"/>
            <w:tcMar>
              <w:top w:w="80" w:type="dxa"/>
              <w:start w:w="90" w:type="dxa"/>
              <w:bottom w:w="80" w:type="dxa"/>
              <w:end w:w="90" w:type="dxa"/>
            </w:tcMar>
          </w:tcPr>
          <w:p>
            <w:pPr>
              <w:spacing w:after="0"/>
            </w:pPr>
            <w:r>
              <w:rPr>
                <w:sz w:val="14"/>
              </w:rPr>
            </w:r>
            <w:r>
              <w:rPr>
                <w:sz w:val="14"/>
              </w:rPr>
              <w:t>Security + Engineering; zero known critical failures release gate, not an uptime claim</w:t>
            </w:r>
          </w:p>
        </w:tc>
      </w:tr>
      <w:tr>
        <w:tc>
          <w:tcPr>
            <w:tcW w:type="dxa" w:w="1704"/>
            <w:vAlign w:val="center"/>
            <w:tcMar>
              <w:top w:w="80" w:type="dxa"/>
              <w:start w:w="90" w:type="dxa"/>
              <w:bottom w:w="80" w:type="dxa"/>
              <w:end w:w="90" w:type="dxa"/>
            </w:tcMar>
          </w:tcPr>
          <w:p>
            <w:pPr>
              <w:spacing w:after="0"/>
            </w:pPr>
            <w:r>
              <w:rPr>
                <w:sz w:val="14"/>
              </w:rPr>
            </w:r>
            <w:r>
              <w:rPr>
                <w:sz w:val="14"/>
              </w:rPr>
              <w:t>KPI-011</w:t>
            </w:r>
          </w:p>
        </w:tc>
        <w:tc>
          <w:tcPr>
            <w:tcW w:type="dxa" w:w="1704"/>
            <w:vAlign w:val="center"/>
            <w:tcMar>
              <w:top w:w="80" w:type="dxa"/>
              <w:start w:w="90" w:type="dxa"/>
              <w:bottom w:w="80" w:type="dxa"/>
              <w:end w:w="90" w:type="dxa"/>
            </w:tcMar>
          </w:tcPr>
          <w:p>
            <w:pPr>
              <w:spacing w:after="0"/>
            </w:pPr>
            <w:r>
              <w:rPr>
                <w:sz w:val="14"/>
              </w:rPr>
            </w:r>
            <w:r>
              <w:rPr>
                <w:sz w:val="14"/>
              </w:rPr>
              <w:t>Approved packages per team-period</w:t>
            </w:r>
          </w:p>
        </w:tc>
        <w:tc>
          <w:tcPr>
            <w:tcW w:type="dxa" w:w="1704"/>
            <w:vAlign w:val="center"/>
            <w:tcMar>
              <w:top w:w="80" w:type="dxa"/>
              <w:start w:w="90" w:type="dxa"/>
              <w:bottom w:w="80" w:type="dxa"/>
              <w:end w:w="90" w:type="dxa"/>
            </w:tcMar>
          </w:tcPr>
          <w:p>
            <w:pPr>
              <w:spacing w:after="0"/>
            </w:pPr>
            <w:r>
              <w:rPr>
                <w:sz w:val="14"/>
              </w:rPr>
            </w:r>
            <w:r>
              <w:rPr>
                <w:sz w:val="14"/>
              </w:rPr>
              <w:t>Count distinct eligible packages approved in period / team; report absolute count and team exposure</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fact_project_milestone</w:t>
            </w:r>
            <w:r>
              <w:rPr>
                <w:sz w:val="14"/>
              </w:rPr>
              <w:t xml:space="preserve">, </w:t>
            </w:r>
            <w:r>
              <w:rPr>
                <w:rFonts w:ascii="Consolas" w:hAnsi="Consolas"/>
                <w:sz w:val="14"/>
              </w:rPr>
              <w:t>dim_team</w:t>
            </w:r>
          </w:p>
        </w:tc>
        <w:tc>
          <w:tcPr>
            <w:tcW w:type="dxa" w:w="1704"/>
            <w:vAlign w:val="center"/>
            <w:tcMar>
              <w:top w:w="80" w:type="dxa"/>
              <w:start w:w="90" w:type="dxa"/>
              <w:bottom w:w="80" w:type="dxa"/>
              <w:end w:w="90" w:type="dxa"/>
            </w:tcMar>
          </w:tcPr>
          <w:p>
            <w:pPr>
              <w:spacing w:after="0"/>
            </w:pPr>
            <w:r>
              <w:rPr>
                <w:sz w:val="14"/>
              </w:rPr>
            </w:r>
            <w:r>
              <w:rPr>
                <w:sz w:val="14"/>
              </w:rPr>
              <w:t>Monthly</w:t>
            </w:r>
          </w:p>
        </w:tc>
        <w:tc>
          <w:tcPr>
            <w:tcW w:type="dxa" w:w="1704"/>
            <w:vAlign w:val="center"/>
            <w:tcMar>
              <w:top w:w="80" w:type="dxa"/>
              <w:start w:w="90" w:type="dxa"/>
              <w:bottom w:w="80" w:type="dxa"/>
              <w:end w:w="90" w:type="dxa"/>
            </w:tcMar>
          </w:tcPr>
          <w:p>
            <w:pPr>
              <w:spacing w:after="0"/>
            </w:pPr>
            <w:r>
              <w:rPr>
                <w:sz w:val="14"/>
              </w:rPr>
            </w:r>
            <w:r>
              <w:rPr>
                <w:sz w:val="14"/>
              </w:rPr>
              <w:t>Leadership/Product; team membership history required</w:t>
            </w:r>
          </w:p>
        </w:tc>
      </w:tr>
      <w:tr>
        <w:tc>
          <w:tcPr>
            <w:tcW w:type="dxa" w:w="1704"/>
            <w:vAlign w:val="center"/>
            <w:tcMar>
              <w:top w:w="80" w:type="dxa"/>
              <w:start w:w="90" w:type="dxa"/>
              <w:bottom w:w="80" w:type="dxa"/>
              <w:end w:w="90" w:type="dxa"/>
            </w:tcMar>
          </w:tcPr>
          <w:p>
            <w:pPr>
              <w:spacing w:after="0"/>
            </w:pPr>
            <w:r>
              <w:rPr>
                <w:sz w:val="14"/>
              </w:rPr>
            </w:r>
            <w:r>
              <w:rPr>
                <w:sz w:val="14"/>
              </w:rPr>
              <w:t>KPI-012</w:t>
            </w:r>
          </w:p>
        </w:tc>
        <w:tc>
          <w:tcPr>
            <w:tcW w:type="dxa" w:w="1704"/>
            <w:vAlign w:val="center"/>
            <w:tcMar>
              <w:top w:w="80" w:type="dxa"/>
              <w:start w:w="90" w:type="dxa"/>
              <w:bottom w:w="80" w:type="dxa"/>
              <w:end w:w="90" w:type="dxa"/>
            </w:tcMar>
          </w:tcPr>
          <w:p>
            <w:pPr>
              <w:spacing w:after="0"/>
            </w:pPr>
            <w:r>
              <w:rPr>
                <w:sz w:val="14"/>
              </w:rPr>
            </w:r>
            <w:r>
              <w:rPr>
                <w:sz w:val="14"/>
              </w:rPr>
              <w:t>Reuse of approved research/decisions</w:t>
            </w:r>
          </w:p>
        </w:tc>
        <w:tc>
          <w:tcPr>
            <w:tcW w:type="dxa" w:w="1704"/>
            <w:vAlign w:val="center"/>
            <w:tcMar>
              <w:top w:w="80" w:type="dxa"/>
              <w:start w:w="90" w:type="dxa"/>
              <w:bottom w:w="80" w:type="dxa"/>
              <w:end w:w="90" w:type="dxa"/>
            </w:tcMar>
          </w:tcPr>
          <w:p>
            <w:pPr>
              <w:spacing w:after="0"/>
            </w:pPr>
            <w:r>
              <w:rPr>
                <w:sz w:val="14"/>
              </w:rPr>
            </w:r>
            <w:r>
              <w:rPr>
                <w:sz w:val="14"/>
              </w:rPr>
              <w:t>Workflows referencing prior eligible approved items / workflows with eligible reuse opportunity</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bridge_context_manifest_item</w:t>
            </w:r>
            <w:r>
              <w:rPr>
                <w:sz w:val="14"/>
              </w:rPr>
              <w:t xml:space="preserve">, </w:t>
            </w:r>
            <w:r>
              <w:rPr>
                <w:rFonts w:ascii="Consolas" w:hAnsi="Consolas"/>
                <w:sz w:val="14"/>
              </w:rPr>
              <w:t>dim_project_item</w:t>
            </w:r>
          </w:p>
        </w:tc>
        <w:tc>
          <w:tcPr>
            <w:tcW w:type="dxa" w:w="1704"/>
            <w:vAlign w:val="center"/>
            <w:tcMar>
              <w:top w:w="80" w:type="dxa"/>
              <w:start w:w="90" w:type="dxa"/>
              <w:bottom w:w="80" w:type="dxa"/>
              <w:end w:w="90" w:type="dxa"/>
            </w:tcMar>
          </w:tcPr>
          <w:p>
            <w:pPr>
              <w:spacing w:after="0"/>
            </w:pPr>
            <w:r>
              <w:rPr>
                <w:sz w:val="14"/>
              </w:rPr>
            </w:r>
            <w:r>
              <w:rPr>
                <w:sz w:val="14"/>
              </w:rPr>
              <w:t>Monthly</w:t>
            </w:r>
          </w:p>
        </w:tc>
        <w:tc>
          <w:tcPr>
            <w:tcW w:type="dxa" w:w="1704"/>
            <w:vAlign w:val="center"/>
            <w:tcMar>
              <w:top w:w="80" w:type="dxa"/>
              <w:start w:w="90" w:type="dxa"/>
              <w:bottom w:w="80" w:type="dxa"/>
              <w:end w:w="90" w:type="dxa"/>
            </w:tcMar>
          </w:tcPr>
          <w:p>
            <w:pPr>
              <w:spacing w:after="0"/>
            </w:pPr>
            <w:r>
              <w:rPr>
                <w:sz w:val="14"/>
              </w:rPr>
            </w:r>
            <w:r>
              <w:rPr>
                <w:sz w:val="14"/>
              </w:rPr>
              <w:t>KM + Product; reference is not proof of useful reuse</w:t>
            </w:r>
          </w:p>
        </w:tc>
      </w:tr>
      <w:tr>
        <w:tc>
          <w:tcPr>
            <w:tcW w:type="dxa" w:w="1704"/>
            <w:vAlign w:val="center"/>
            <w:tcMar>
              <w:top w:w="80" w:type="dxa"/>
              <w:start w:w="90" w:type="dxa"/>
              <w:bottom w:w="80" w:type="dxa"/>
              <w:end w:w="90" w:type="dxa"/>
            </w:tcMar>
          </w:tcPr>
          <w:p>
            <w:pPr>
              <w:spacing w:after="0"/>
            </w:pPr>
            <w:r>
              <w:rPr>
                <w:sz w:val="14"/>
              </w:rPr>
            </w:r>
            <w:r>
              <w:rPr>
                <w:sz w:val="14"/>
              </w:rPr>
              <w:t>KPI-013</w:t>
            </w:r>
          </w:p>
        </w:tc>
        <w:tc>
          <w:tcPr>
            <w:tcW w:type="dxa" w:w="1704"/>
            <w:vAlign w:val="center"/>
            <w:tcMar>
              <w:top w:w="80" w:type="dxa"/>
              <w:start w:w="90" w:type="dxa"/>
              <w:bottom w:w="80" w:type="dxa"/>
              <w:end w:w="90" w:type="dxa"/>
            </w:tcMar>
          </w:tcPr>
          <w:p>
            <w:pPr>
              <w:spacing w:after="0"/>
            </w:pPr>
            <w:r>
              <w:rPr>
                <w:sz w:val="14"/>
              </w:rPr>
            </w:r>
            <w:r>
              <w:rPr>
                <w:sz w:val="14"/>
              </w:rPr>
              <w:t>Context reconstruction effort</w:t>
            </w:r>
          </w:p>
        </w:tc>
        <w:tc>
          <w:tcPr>
            <w:tcW w:type="dxa" w:w="1704"/>
            <w:vAlign w:val="center"/>
            <w:tcMar>
              <w:top w:w="80" w:type="dxa"/>
              <w:start w:w="90" w:type="dxa"/>
              <w:bottom w:w="80" w:type="dxa"/>
              <w:end w:w="90" w:type="dxa"/>
            </w:tcMar>
          </w:tcPr>
          <w:p>
            <w:pPr>
              <w:spacing w:after="0"/>
            </w:pPr>
            <w:r>
              <w:rPr>
                <w:sz w:val="14"/>
              </w:rPr>
            </w:r>
            <w:r>
              <w:rPr>
                <w:sz w:val="14"/>
              </w:rPr>
              <w:t>Measured human time spent re-explaining/reconstructing existing project context</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fact_work_session</w:t>
            </w:r>
            <w:r>
              <w:rPr>
                <w:sz w:val="14"/>
              </w:rPr>
              <w:t xml:space="preserve"> + optional user-declared reason</w:t>
            </w:r>
          </w:p>
        </w:tc>
        <w:tc>
          <w:tcPr>
            <w:tcW w:type="dxa" w:w="1704"/>
            <w:vAlign w:val="center"/>
            <w:tcMar>
              <w:top w:w="80" w:type="dxa"/>
              <w:start w:w="90" w:type="dxa"/>
              <w:bottom w:w="80" w:type="dxa"/>
              <w:end w:w="90" w:type="dxa"/>
            </w:tcMar>
          </w:tcPr>
          <w:p>
            <w:pPr>
              <w:spacing w:after="0"/>
            </w:pPr>
            <w:r>
              <w:rPr>
                <w:sz w:val="14"/>
              </w:rPr>
            </w:r>
            <w:r>
              <w:rPr>
                <w:sz w:val="14"/>
              </w:rPr>
              <w:t>Monthly</w:t>
            </w:r>
          </w:p>
        </w:tc>
        <w:tc>
          <w:tcPr>
            <w:tcW w:type="dxa" w:w="1704"/>
            <w:vAlign w:val="center"/>
            <w:tcMar>
              <w:top w:w="80" w:type="dxa"/>
              <w:start w:w="90" w:type="dxa"/>
              <w:bottom w:w="80" w:type="dxa"/>
              <w:end w:w="90" w:type="dxa"/>
            </w:tcMar>
          </w:tcPr>
          <w:p>
            <w:pPr>
              <w:spacing w:after="0"/>
            </w:pPr>
            <w:r>
              <w:rPr>
                <w:sz w:val="14"/>
              </w:rPr>
            </w:r>
            <w:r>
              <w:rPr>
                <w:sz w:val="14"/>
              </w:rPr>
              <w:t>Product Research; instrumenting burden and self-report bias</w:t>
            </w:r>
          </w:p>
        </w:tc>
      </w:tr>
      <w:tr>
        <w:tc>
          <w:tcPr>
            <w:tcW w:type="dxa" w:w="1704"/>
            <w:vAlign w:val="center"/>
            <w:tcMar>
              <w:top w:w="80" w:type="dxa"/>
              <w:start w:w="90" w:type="dxa"/>
              <w:bottom w:w="80" w:type="dxa"/>
              <w:end w:w="90" w:type="dxa"/>
            </w:tcMar>
          </w:tcPr>
          <w:p>
            <w:pPr>
              <w:spacing w:after="0"/>
            </w:pPr>
            <w:r>
              <w:rPr>
                <w:sz w:val="14"/>
              </w:rPr>
            </w:r>
            <w:r>
              <w:rPr>
                <w:sz w:val="14"/>
              </w:rPr>
              <w:t>KPI-014</w:t>
            </w:r>
          </w:p>
        </w:tc>
        <w:tc>
          <w:tcPr>
            <w:tcW w:type="dxa" w:w="1704"/>
            <w:vAlign w:val="center"/>
            <w:tcMar>
              <w:top w:w="80" w:type="dxa"/>
              <w:start w:w="90" w:type="dxa"/>
              <w:bottom w:w="80" w:type="dxa"/>
              <w:end w:w="90" w:type="dxa"/>
            </w:tcMar>
          </w:tcPr>
          <w:p>
            <w:pPr>
              <w:spacing w:after="0"/>
            </w:pPr>
            <w:r>
              <w:rPr>
                <w:sz w:val="14"/>
              </w:rPr>
            </w:r>
            <w:r>
              <w:rPr>
                <w:sz w:val="14"/>
              </w:rPr>
              <w:t>Cost per successful approved package</w:t>
            </w:r>
          </w:p>
        </w:tc>
        <w:tc>
          <w:tcPr>
            <w:tcW w:type="dxa" w:w="1704"/>
            <w:vAlign w:val="center"/>
            <w:tcMar>
              <w:top w:w="80" w:type="dxa"/>
              <w:start w:w="90" w:type="dxa"/>
              <w:bottom w:w="80" w:type="dxa"/>
              <w:end w:w="90" w:type="dxa"/>
            </w:tcMar>
          </w:tcPr>
          <w:p>
            <w:pPr>
              <w:spacing w:after="0"/>
            </w:pPr>
            <w:r>
              <w:rPr>
                <w:sz w:val="14"/>
              </w:rPr>
            </w:r>
            <w:r>
              <w:rPr>
                <w:sz w:val="14"/>
              </w:rPr>
              <w:t>Allocated model + tool + provider cost attributable to package / approved package count; report unattributed cost separately</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fact_ai_cost</w:t>
            </w:r>
            <w:r>
              <w:rPr>
                <w:sz w:val="14"/>
              </w:rPr>
              <w:t xml:space="preserve">, </w:t>
            </w:r>
            <w:r>
              <w:rPr>
                <w:rFonts w:ascii="Consolas" w:hAnsi="Consolas"/>
                <w:sz w:val="14"/>
              </w:rPr>
              <w:t>fact_project_milestone</w:t>
            </w:r>
          </w:p>
        </w:tc>
        <w:tc>
          <w:tcPr>
            <w:tcW w:type="dxa" w:w="1704"/>
            <w:vAlign w:val="center"/>
            <w:tcMar>
              <w:top w:w="80" w:type="dxa"/>
              <w:start w:w="90" w:type="dxa"/>
              <w:bottom w:w="80" w:type="dxa"/>
              <w:end w:w="90" w:type="dxa"/>
            </w:tcMar>
          </w:tcPr>
          <w:p>
            <w:pPr>
              <w:spacing w:after="0"/>
            </w:pPr>
            <w:r>
              <w:rPr>
                <w:sz w:val="14"/>
              </w:rPr>
            </w:r>
            <w:r>
              <w:rPr>
                <w:sz w:val="14"/>
              </w:rPr>
              <w:t>Daily provisional/monthly financial</w:t>
            </w:r>
          </w:p>
        </w:tc>
        <w:tc>
          <w:tcPr>
            <w:tcW w:type="dxa" w:w="1704"/>
            <w:vAlign w:val="center"/>
            <w:tcMar>
              <w:top w:w="80" w:type="dxa"/>
              <w:start w:w="90" w:type="dxa"/>
              <w:bottom w:w="80" w:type="dxa"/>
              <w:end w:w="90" w:type="dxa"/>
            </w:tcMar>
          </w:tcPr>
          <w:p>
            <w:pPr>
              <w:spacing w:after="0"/>
            </w:pPr>
            <w:r>
              <w:rPr>
                <w:sz w:val="14"/>
              </w:rPr>
            </w:r>
            <w:r>
              <w:rPr>
                <w:sz w:val="14"/>
              </w:rPr>
              <w:t>Engineering + Finance; pricing and allocation coverage TBD</w:t>
            </w:r>
          </w:p>
        </w:tc>
      </w:tr>
      <w:tr>
        <w:tc>
          <w:tcPr>
            <w:tcW w:type="dxa" w:w="1704"/>
            <w:vAlign w:val="center"/>
            <w:tcMar>
              <w:top w:w="80" w:type="dxa"/>
              <w:start w:w="90" w:type="dxa"/>
              <w:bottom w:w="80" w:type="dxa"/>
              <w:end w:w="90" w:type="dxa"/>
            </w:tcMar>
          </w:tcPr>
          <w:p>
            <w:pPr>
              <w:spacing w:after="0"/>
            </w:pPr>
            <w:r>
              <w:rPr>
                <w:sz w:val="14"/>
              </w:rPr>
            </w:r>
            <w:r>
              <w:rPr>
                <w:sz w:val="14"/>
              </w:rPr>
              <w:t>AIM-001</w:t>
            </w:r>
          </w:p>
        </w:tc>
        <w:tc>
          <w:tcPr>
            <w:tcW w:type="dxa" w:w="1704"/>
            <w:vAlign w:val="center"/>
            <w:tcMar>
              <w:top w:w="80" w:type="dxa"/>
              <w:start w:w="90" w:type="dxa"/>
              <w:bottom w:w="80" w:type="dxa"/>
              <w:end w:w="90" w:type="dxa"/>
            </w:tcMar>
          </w:tcPr>
          <w:p>
            <w:pPr>
              <w:spacing w:after="0"/>
            </w:pPr>
            <w:r>
              <w:rPr>
                <w:sz w:val="14"/>
              </w:rPr>
            </w:r>
            <w:r>
              <w:rPr>
                <w:sz w:val="14"/>
              </w:rPr>
              <w:t>End-to-end AI run latency</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terminal_at - started_at</w:t>
            </w:r>
            <w:r>
              <w:rPr>
                <w:sz w:val="14"/>
              </w:rPr>
              <w:t>; run; report p50/p95 and status cohorts</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fact_ai_run</w:t>
            </w:r>
          </w:p>
        </w:tc>
        <w:tc>
          <w:tcPr>
            <w:tcW w:type="dxa" w:w="1704"/>
            <w:vAlign w:val="center"/>
            <w:tcMar>
              <w:top w:w="80" w:type="dxa"/>
              <w:start w:w="90" w:type="dxa"/>
              <w:bottom w:w="80" w:type="dxa"/>
              <w:end w:w="90" w:type="dxa"/>
            </w:tcMar>
          </w:tcPr>
          <w:p>
            <w:pPr>
              <w:spacing w:after="0"/>
            </w:pPr>
            <w:r>
              <w:rPr>
                <w:sz w:val="14"/>
              </w:rPr>
            </w:r>
            <w:r>
              <w:rPr>
                <w:sz w:val="14"/>
              </w:rPr>
              <w:t>5–15 min proposed operational refresh</w:t>
            </w:r>
          </w:p>
        </w:tc>
        <w:tc>
          <w:tcPr>
            <w:tcW w:type="dxa" w:w="1704"/>
            <w:vAlign w:val="center"/>
            <w:tcMar>
              <w:top w:w="80" w:type="dxa"/>
              <w:start w:w="90" w:type="dxa"/>
              <w:bottom w:w="80" w:type="dxa"/>
              <w:end w:w="90" w:type="dxa"/>
            </w:tcMar>
          </w:tcPr>
          <w:p>
            <w:pPr>
              <w:spacing w:after="0"/>
            </w:pPr>
            <w:r>
              <w:rPr>
                <w:sz w:val="14"/>
              </w:rPr>
            </w:r>
            <w:r>
              <w:rPr>
                <w:sz w:val="14"/>
              </w:rPr>
              <w:t>AI/Engineering; SLA TBD</w:t>
            </w:r>
          </w:p>
        </w:tc>
      </w:tr>
      <w:tr>
        <w:tc>
          <w:tcPr>
            <w:tcW w:type="dxa" w:w="1704"/>
            <w:vAlign w:val="center"/>
            <w:tcMar>
              <w:top w:w="80" w:type="dxa"/>
              <w:start w:w="90" w:type="dxa"/>
              <w:bottom w:w="80" w:type="dxa"/>
              <w:end w:w="90" w:type="dxa"/>
            </w:tcMar>
          </w:tcPr>
          <w:p>
            <w:pPr>
              <w:spacing w:after="0"/>
            </w:pPr>
            <w:r>
              <w:rPr>
                <w:sz w:val="14"/>
              </w:rPr>
            </w:r>
            <w:r>
              <w:rPr>
                <w:sz w:val="14"/>
              </w:rPr>
              <w:t>AIM-002</w:t>
            </w:r>
          </w:p>
        </w:tc>
        <w:tc>
          <w:tcPr>
            <w:tcW w:type="dxa" w:w="1704"/>
            <w:vAlign w:val="center"/>
            <w:tcMar>
              <w:top w:w="80" w:type="dxa"/>
              <w:start w:w="90" w:type="dxa"/>
              <w:bottom w:w="80" w:type="dxa"/>
              <w:end w:w="90" w:type="dxa"/>
            </w:tcMar>
          </w:tcPr>
          <w:p>
            <w:pPr>
              <w:spacing w:after="0"/>
            </w:pPr>
            <w:r>
              <w:rPr>
                <w:sz w:val="14"/>
              </w:rPr>
            </w:r>
            <w:r>
              <w:rPr>
                <w:sz w:val="14"/>
              </w:rPr>
              <w:t>AI workflow completion rate</w:t>
            </w:r>
          </w:p>
        </w:tc>
        <w:tc>
          <w:tcPr>
            <w:tcW w:type="dxa" w:w="1704"/>
            <w:vAlign w:val="center"/>
            <w:tcMar>
              <w:top w:w="80" w:type="dxa"/>
              <w:start w:w="90" w:type="dxa"/>
              <w:bottom w:w="80" w:type="dxa"/>
              <w:end w:w="90" w:type="dxa"/>
            </w:tcMar>
          </w:tcPr>
          <w:p>
            <w:pPr>
              <w:spacing w:after="0"/>
            </w:pPr>
            <w:r>
              <w:rPr>
                <w:sz w:val="14"/>
              </w:rPr>
            </w:r>
            <w:r>
              <w:rPr>
                <w:sz w:val="14"/>
              </w:rPr>
              <w:t>Runs reaching expected terminal success / eligible started runs; by workflow and run version</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fact_ai_run</w:t>
            </w:r>
          </w:p>
        </w:tc>
        <w:tc>
          <w:tcPr>
            <w:tcW w:type="dxa" w:w="1704"/>
            <w:vAlign w:val="center"/>
            <w:tcMar>
              <w:top w:w="80" w:type="dxa"/>
              <w:start w:w="90" w:type="dxa"/>
              <w:bottom w:w="80" w:type="dxa"/>
              <w:end w:w="90" w:type="dxa"/>
            </w:tcMar>
          </w:tcPr>
          <w:p>
            <w:pPr>
              <w:spacing w:after="0"/>
            </w:pPr>
            <w:r>
              <w:rPr>
                <w:sz w:val="14"/>
              </w:rPr>
            </w:r>
            <w:r>
              <w:rPr>
                <w:sz w:val="14"/>
              </w:rPr>
              <w:t>Daily</w:t>
            </w:r>
          </w:p>
        </w:tc>
        <w:tc>
          <w:tcPr>
            <w:tcW w:type="dxa" w:w="1704"/>
            <w:vAlign w:val="center"/>
            <w:tcMar>
              <w:top w:w="80" w:type="dxa"/>
              <w:start w:w="90" w:type="dxa"/>
              <w:bottom w:w="80" w:type="dxa"/>
              <w:end w:w="90" w:type="dxa"/>
            </w:tcMar>
          </w:tcPr>
          <w:p>
            <w:pPr>
              <w:spacing w:after="0"/>
            </w:pPr>
            <w:r>
              <w:rPr>
                <w:sz w:val="14"/>
              </w:rPr>
            </w:r>
            <w:r>
              <w:rPr>
                <w:sz w:val="14"/>
              </w:rPr>
              <w:t>AI/Engineering; partial success separate</w:t>
            </w:r>
          </w:p>
        </w:tc>
      </w:tr>
      <w:tr>
        <w:tc>
          <w:tcPr>
            <w:tcW w:type="dxa" w:w="1704"/>
            <w:vAlign w:val="center"/>
            <w:tcMar>
              <w:top w:w="80" w:type="dxa"/>
              <w:start w:w="90" w:type="dxa"/>
              <w:bottom w:w="80" w:type="dxa"/>
              <w:end w:w="90" w:type="dxa"/>
            </w:tcMar>
          </w:tcPr>
          <w:p>
            <w:pPr>
              <w:spacing w:after="0"/>
            </w:pPr>
            <w:r>
              <w:rPr>
                <w:sz w:val="14"/>
              </w:rPr>
            </w:r>
            <w:r>
              <w:rPr>
                <w:sz w:val="14"/>
              </w:rPr>
              <w:t>AIM-003</w:t>
            </w:r>
          </w:p>
        </w:tc>
        <w:tc>
          <w:tcPr>
            <w:tcW w:type="dxa" w:w="1704"/>
            <w:vAlign w:val="center"/>
            <w:tcMar>
              <w:top w:w="80" w:type="dxa"/>
              <w:start w:w="90" w:type="dxa"/>
              <w:bottom w:w="80" w:type="dxa"/>
              <w:end w:w="90" w:type="dxa"/>
            </w:tcMar>
          </w:tcPr>
          <w:p>
            <w:pPr>
              <w:spacing w:after="0"/>
            </w:pPr>
            <w:r>
              <w:rPr>
                <w:sz w:val="14"/>
              </w:rPr>
            </w:r>
            <w:r>
              <w:rPr>
                <w:sz w:val="14"/>
              </w:rPr>
              <w:t>Tool success rate</w:t>
            </w:r>
          </w:p>
        </w:tc>
        <w:tc>
          <w:tcPr>
            <w:tcW w:type="dxa" w:w="1704"/>
            <w:vAlign w:val="center"/>
            <w:tcMar>
              <w:top w:w="80" w:type="dxa"/>
              <w:start w:w="90" w:type="dxa"/>
              <w:bottom w:w="80" w:type="dxa"/>
              <w:end w:w="90" w:type="dxa"/>
            </w:tcMar>
          </w:tcPr>
          <w:p>
            <w:pPr>
              <w:spacing w:after="0"/>
            </w:pPr>
            <w:r>
              <w:rPr>
                <w:sz w:val="14"/>
              </w:rPr>
            </w:r>
            <w:r>
              <w:rPr>
                <w:sz w:val="14"/>
              </w:rPr>
              <w:t>Successful tool invocations / attempted tool invocations; tool class</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fact_tool_invocation</w:t>
            </w:r>
          </w:p>
        </w:tc>
        <w:tc>
          <w:tcPr>
            <w:tcW w:type="dxa" w:w="1704"/>
            <w:vAlign w:val="center"/>
            <w:tcMar>
              <w:top w:w="80" w:type="dxa"/>
              <w:start w:w="90" w:type="dxa"/>
              <w:bottom w:w="80" w:type="dxa"/>
              <w:end w:w="90" w:type="dxa"/>
            </w:tcMar>
          </w:tcPr>
          <w:p>
            <w:pPr>
              <w:spacing w:after="0"/>
            </w:pPr>
            <w:r>
              <w:rPr>
                <w:sz w:val="14"/>
              </w:rPr>
            </w:r>
            <w:r>
              <w:rPr>
                <w:sz w:val="14"/>
              </w:rPr>
              <w:t>Daily</w:t>
            </w:r>
          </w:p>
        </w:tc>
        <w:tc>
          <w:tcPr>
            <w:tcW w:type="dxa" w:w="1704"/>
            <w:vAlign w:val="center"/>
            <w:tcMar>
              <w:top w:w="80" w:type="dxa"/>
              <w:start w:w="90" w:type="dxa"/>
              <w:bottom w:w="80" w:type="dxa"/>
              <w:end w:w="90" w:type="dxa"/>
            </w:tcMar>
          </w:tcPr>
          <w:p>
            <w:pPr>
              <w:spacing w:after="0"/>
            </w:pPr>
            <w:r>
              <w:rPr>
                <w:sz w:val="14"/>
              </w:rPr>
            </w:r>
            <w:r>
              <w:rPr>
                <w:sz w:val="14"/>
              </w:rPr>
              <w:t>Engineering; authorization denials separate from tool errors</w:t>
            </w:r>
          </w:p>
        </w:tc>
      </w:tr>
      <w:tr>
        <w:tc>
          <w:tcPr>
            <w:tcW w:type="dxa" w:w="1704"/>
            <w:vAlign w:val="center"/>
            <w:tcMar>
              <w:top w:w="80" w:type="dxa"/>
              <w:start w:w="90" w:type="dxa"/>
              <w:bottom w:w="80" w:type="dxa"/>
              <w:end w:w="90" w:type="dxa"/>
            </w:tcMar>
          </w:tcPr>
          <w:p>
            <w:pPr>
              <w:spacing w:after="0"/>
            </w:pPr>
            <w:r>
              <w:rPr>
                <w:sz w:val="14"/>
              </w:rPr>
            </w:r>
            <w:r>
              <w:rPr>
                <w:sz w:val="14"/>
              </w:rPr>
              <w:t>AIM-004</w:t>
            </w:r>
          </w:p>
        </w:tc>
        <w:tc>
          <w:tcPr>
            <w:tcW w:type="dxa" w:w="1704"/>
            <w:vAlign w:val="center"/>
            <w:tcMar>
              <w:top w:w="80" w:type="dxa"/>
              <w:start w:w="90" w:type="dxa"/>
              <w:bottom w:w="80" w:type="dxa"/>
              <w:end w:w="90" w:type="dxa"/>
            </w:tcMar>
          </w:tcPr>
          <w:p>
            <w:pPr>
              <w:spacing w:after="0"/>
            </w:pPr>
            <w:r>
              <w:rPr>
                <w:sz w:val="14"/>
              </w:rPr>
            </w:r>
            <w:r>
              <w:rPr>
                <w:sz w:val="14"/>
              </w:rPr>
              <w:t>Retry rate</w:t>
            </w:r>
          </w:p>
        </w:tc>
        <w:tc>
          <w:tcPr>
            <w:tcW w:type="dxa" w:w="1704"/>
            <w:vAlign w:val="center"/>
            <w:tcMar>
              <w:top w:w="80" w:type="dxa"/>
              <w:start w:w="90" w:type="dxa"/>
              <w:bottom w:w="80" w:type="dxa"/>
              <w:end w:w="90" w:type="dxa"/>
            </w:tcMar>
          </w:tcPr>
          <w:p>
            <w:pPr>
              <w:spacing w:after="0"/>
            </w:pPr>
            <w:r>
              <w:rPr>
                <w:sz w:val="14"/>
              </w:rPr>
            </w:r>
            <w:r>
              <w:rPr>
                <w:sz w:val="14"/>
              </w:rPr>
              <w:t>Runs with one or more retry attempts / eligible runs</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fact_ai_attempt</w:t>
            </w:r>
          </w:p>
        </w:tc>
        <w:tc>
          <w:tcPr>
            <w:tcW w:type="dxa" w:w="1704"/>
            <w:vAlign w:val="center"/>
            <w:tcMar>
              <w:top w:w="80" w:type="dxa"/>
              <w:start w:w="90" w:type="dxa"/>
              <w:bottom w:w="80" w:type="dxa"/>
              <w:end w:w="90" w:type="dxa"/>
            </w:tcMar>
          </w:tcPr>
          <w:p>
            <w:pPr>
              <w:spacing w:after="0"/>
            </w:pPr>
            <w:r>
              <w:rPr>
                <w:sz w:val="14"/>
              </w:rPr>
            </w:r>
            <w:r>
              <w:rPr>
                <w:sz w:val="14"/>
              </w:rPr>
              <w:t>Daily</w:t>
            </w:r>
          </w:p>
        </w:tc>
        <w:tc>
          <w:tcPr>
            <w:tcW w:type="dxa" w:w="1704"/>
            <w:vAlign w:val="center"/>
            <w:tcMar>
              <w:top w:w="80" w:type="dxa"/>
              <w:start w:w="90" w:type="dxa"/>
              <w:bottom w:w="80" w:type="dxa"/>
              <w:end w:w="90" w:type="dxa"/>
            </w:tcMar>
          </w:tcPr>
          <w:p>
            <w:pPr>
              <w:spacing w:after="0"/>
            </w:pPr>
            <w:r>
              <w:rPr>
                <w:sz w:val="14"/>
              </w:rPr>
            </w:r>
            <w:r>
              <w:rPr>
                <w:sz w:val="14"/>
              </w:rPr>
              <w:t>AI/Engineering; retries can be healthy recovery, not standalone failure</w:t>
            </w:r>
          </w:p>
        </w:tc>
      </w:tr>
      <w:tr>
        <w:tc>
          <w:tcPr>
            <w:tcW w:type="dxa" w:w="1704"/>
            <w:vAlign w:val="center"/>
            <w:tcMar>
              <w:top w:w="80" w:type="dxa"/>
              <w:start w:w="90" w:type="dxa"/>
              <w:bottom w:w="80" w:type="dxa"/>
              <w:end w:w="90" w:type="dxa"/>
            </w:tcMar>
          </w:tcPr>
          <w:p>
            <w:pPr>
              <w:spacing w:after="0"/>
            </w:pPr>
            <w:r>
              <w:rPr>
                <w:sz w:val="14"/>
              </w:rPr>
            </w:r>
            <w:r>
              <w:rPr>
                <w:sz w:val="14"/>
              </w:rPr>
              <w:t>AIM-005</w:t>
            </w:r>
          </w:p>
        </w:tc>
        <w:tc>
          <w:tcPr>
            <w:tcW w:type="dxa" w:w="1704"/>
            <w:vAlign w:val="center"/>
            <w:tcMar>
              <w:top w:w="80" w:type="dxa"/>
              <w:start w:w="90" w:type="dxa"/>
              <w:bottom w:w="80" w:type="dxa"/>
              <w:end w:w="90" w:type="dxa"/>
            </w:tcMar>
          </w:tcPr>
          <w:p>
            <w:pPr>
              <w:spacing w:after="0"/>
            </w:pPr>
            <w:r>
              <w:rPr>
                <w:sz w:val="14"/>
              </w:rPr>
            </w:r>
            <w:r>
              <w:rPr>
                <w:sz w:val="14"/>
              </w:rPr>
              <w:t>Cost per successful task</w:t>
            </w:r>
          </w:p>
        </w:tc>
        <w:tc>
          <w:tcPr>
            <w:tcW w:type="dxa" w:w="1704"/>
            <w:vAlign w:val="center"/>
            <w:tcMar>
              <w:top w:w="80" w:type="dxa"/>
              <w:start w:w="90" w:type="dxa"/>
              <w:bottom w:w="80" w:type="dxa"/>
              <w:end w:w="90" w:type="dxa"/>
            </w:tcMar>
          </w:tcPr>
          <w:p>
            <w:pPr>
              <w:spacing w:after="0"/>
            </w:pPr>
            <w:r>
              <w:rPr>
                <w:sz w:val="14"/>
              </w:rPr>
            </w:r>
            <w:r>
              <w:rPr>
                <w:sz w:val="14"/>
              </w:rPr>
              <w:t>Total attributable AI/tool cost / successful tasks; workflow cohort</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fact_ai_cost</w:t>
            </w:r>
            <w:r>
              <w:rPr>
                <w:sz w:val="14"/>
              </w:rPr>
              <w:t xml:space="preserve">, </w:t>
            </w:r>
            <w:r>
              <w:rPr>
                <w:rFonts w:ascii="Consolas" w:hAnsi="Consolas"/>
                <w:sz w:val="14"/>
              </w:rPr>
              <w:t>fact_ai_run</w:t>
            </w:r>
          </w:p>
        </w:tc>
        <w:tc>
          <w:tcPr>
            <w:tcW w:type="dxa" w:w="1704"/>
            <w:vAlign w:val="center"/>
            <w:tcMar>
              <w:top w:w="80" w:type="dxa"/>
              <w:start w:w="90" w:type="dxa"/>
              <w:bottom w:w="80" w:type="dxa"/>
              <w:end w:w="90" w:type="dxa"/>
            </w:tcMar>
          </w:tcPr>
          <w:p>
            <w:pPr>
              <w:spacing w:after="0"/>
            </w:pPr>
            <w:r>
              <w:rPr>
                <w:sz w:val="14"/>
              </w:rPr>
            </w:r>
            <w:r>
              <w:rPr>
                <w:sz w:val="14"/>
              </w:rPr>
              <w:t>Daily/monthly</w:t>
            </w:r>
          </w:p>
        </w:tc>
        <w:tc>
          <w:tcPr>
            <w:tcW w:type="dxa" w:w="1704"/>
            <w:vAlign w:val="center"/>
            <w:tcMar>
              <w:top w:w="80" w:type="dxa"/>
              <w:start w:w="90" w:type="dxa"/>
              <w:bottom w:w="80" w:type="dxa"/>
              <w:end w:w="90" w:type="dxa"/>
            </w:tcMar>
          </w:tcPr>
          <w:p>
            <w:pPr>
              <w:spacing w:after="0"/>
            </w:pPr>
            <w:r>
              <w:rPr>
                <w:sz w:val="14"/>
              </w:rPr>
            </w:r>
            <w:r>
              <w:rPr>
                <w:sz w:val="14"/>
              </w:rPr>
              <w:t>AI + Finance; task success definition must be stable</w:t>
            </w:r>
          </w:p>
        </w:tc>
      </w:tr>
      <w:tr>
        <w:tc>
          <w:tcPr>
            <w:tcW w:type="dxa" w:w="1704"/>
            <w:vAlign w:val="center"/>
            <w:tcMar>
              <w:top w:w="80" w:type="dxa"/>
              <w:start w:w="90" w:type="dxa"/>
              <w:bottom w:w="80" w:type="dxa"/>
              <w:end w:w="90" w:type="dxa"/>
            </w:tcMar>
          </w:tcPr>
          <w:p>
            <w:pPr>
              <w:spacing w:after="0"/>
            </w:pPr>
            <w:r>
              <w:rPr>
                <w:sz w:val="14"/>
              </w:rPr>
            </w:r>
            <w:r>
              <w:rPr>
                <w:sz w:val="14"/>
              </w:rPr>
              <w:t>AIM-006</w:t>
            </w:r>
          </w:p>
        </w:tc>
        <w:tc>
          <w:tcPr>
            <w:tcW w:type="dxa" w:w="1704"/>
            <w:vAlign w:val="center"/>
            <w:tcMar>
              <w:top w:w="80" w:type="dxa"/>
              <w:start w:w="90" w:type="dxa"/>
              <w:bottom w:w="80" w:type="dxa"/>
              <w:end w:w="90" w:type="dxa"/>
            </w:tcMar>
          </w:tcPr>
          <w:p>
            <w:pPr>
              <w:spacing w:after="0"/>
            </w:pPr>
            <w:r>
              <w:rPr>
                <w:sz w:val="14"/>
              </w:rPr>
            </w:r>
            <w:r>
              <w:rPr>
                <w:sz w:val="14"/>
              </w:rPr>
              <w:t>Evaluated quality by dimension</w:t>
            </w:r>
          </w:p>
        </w:tc>
        <w:tc>
          <w:tcPr>
            <w:tcW w:type="dxa" w:w="1704"/>
            <w:vAlign w:val="center"/>
            <w:tcMar>
              <w:top w:w="80" w:type="dxa"/>
              <w:start w:w="90" w:type="dxa"/>
              <w:bottom w:w="80" w:type="dxa"/>
              <w:end w:w="90" w:type="dxa"/>
            </w:tcMar>
          </w:tcPr>
          <w:p>
            <w:pPr>
              <w:spacing w:after="0"/>
            </w:pPr>
            <w:r>
              <w:rPr>
                <w:sz w:val="14"/>
              </w:rPr>
            </w:r>
            <w:r>
              <w:rPr>
                <w:sz w:val="14"/>
              </w:rPr>
              <w:t>Scores per versioned rubric and dataset; never collapse safety into a single average</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fact_evaluation_result</w:t>
            </w:r>
          </w:p>
        </w:tc>
        <w:tc>
          <w:tcPr>
            <w:tcW w:type="dxa" w:w="1704"/>
            <w:vAlign w:val="center"/>
            <w:tcMar>
              <w:top w:w="80" w:type="dxa"/>
              <w:start w:w="90" w:type="dxa"/>
              <w:bottom w:w="80" w:type="dxa"/>
              <w:end w:w="90" w:type="dxa"/>
            </w:tcMar>
          </w:tcPr>
          <w:p>
            <w:pPr>
              <w:spacing w:after="0"/>
            </w:pPr>
            <w:r>
              <w:rPr>
                <w:sz w:val="14"/>
              </w:rPr>
            </w:r>
            <w:r>
              <w:rPr>
                <w:sz w:val="14"/>
              </w:rPr>
              <w:t>Per evaluation run/release</w:t>
            </w:r>
          </w:p>
        </w:tc>
        <w:tc>
          <w:tcPr>
            <w:tcW w:type="dxa" w:w="1704"/>
            <w:vAlign w:val="center"/>
            <w:tcMar>
              <w:top w:w="80" w:type="dxa"/>
              <w:start w:w="90" w:type="dxa"/>
              <w:bottom w:w="80" w:type="dxa"/>
              <w:end w:w="90" w:type="dxa"/>
            </w:tcMar>
          </w:tcPr>
          <w:p>
            <w:pPr>
              <w:spacing w:after="0"/>
            </w:pPr>
            <w:r>
              <w:rPr>
                <w:sz w:val="14"/>
              </w:rPr>
            </w:r>
            <w:r>
              <w:rPr>
                <w:sz w:val="14"/>
              </w:rPr>
              <w:t>AI + Creative; evaluator calibration and uncertainty required</w:t>
            </w:r>
          </w:p>
        </w:tc>
      </w:tr>
      <w:tr>
        <w:tc>
          <w:tcPr>
            <w:tcW w:type="dxa" w:w="1704"/>
            <w:vAlign w:val="center"/>
            <w:tcMar>
              <w:top w:w="80" w:type="dxa"/>
              <w:start w:w="90" w:type="dxa"/>
              <w:bottom w:w="80" w:type="dxa"/>
              <w:end w:w="90" w:type="dxa"/>
            </w:tcMar>
          </w:tcPr>
          <w:p>
            <w:pPr>
              <w:spacing w:after="0"/>
            </w:pPr>
            <w:r>
              <w:rPr>
                <w:sz w:val="14"/>
              </w:rPr>
            </w:r>
            <w:r>
              <w:rPr>
                <w:sz w:val="14"/>
              </w:rPr>
              <w:t>DQ-001</w:t>
            </w:r>
          </w:p>
        </w:tc>
        <w:tc>
          <w:tcPr>
            <w:tcW w:type="dxa" w:w="1704"/>
            <w:vAlign w:val="center"/>
            <w:tcMar>
              <w:top w:w="80" w:type="dxa"/>
              <w:start w:w="90" w:type="dxa"/>
              <w:bottom w:w="80" w:type="dxa"/>
              <w:end w:w="90" w:type="dxa"/>
            </w:tcMar>
          </w:tcPr>
          <w:p>
            <w:pPr>
              <w:spacing w:after="0"/>
            </w:pPr>
            <w:r>
              <w:rPr>
                <w:sz w:val="14"/>
              </w:rPr>
            </w:r>
            <w:r>
              <w:rPr>
                <w:sz w:val="14"/>
              </w:rPr>
              <w:t>Event completeness</w:t>
            </w:r>
          </w:p>
        </w:tc>
        <w:tc>
          <w:tcPr>
            <w:tcW w:type="dxa" w:w="1704"/>
            <w:vAlign w:val="center"/>
            <w:tcMar>
              <w:top w:w="80" w:type="dxa"/>
              <w:start w:w="90" w:type="dxa"/>
              <w:bottom w:w="80" w:type="dxa"/>
              <w:end w:w="90" w:type="dxa"/>
            </w:tcMar>
          </w:tcPr>
          <w:p>
            <w:pPr>
              <w:spacing w:after="0"/>
            </w:pPr>
            <w:r>
              <w:rPr>
                <w:sz w:val="14"/>
              </w:rPr>
            </w:r>
            <w:r>
              <w:rPr>
                <w:sz w:val="14"/>
              </w:rPr>
              <w:t>Received valid expected events / eligible authoritative source actions</w:t>
            </w:r>
          </w:p>
        </w:tc>
        <w:tc>
          <w:tcPr>
            <w:tcW w:type="dxa" w:w="1704"/>
            <w:vAlign w:val="center"/>
            <w:tcMar>
              <w:top w:w="80" w:type="dxa"/>
              <w:start w:w="90" w:type="dxa"/>
              <w:bottom w:w="80" w:type="dxa"/>
              <w:end w:w="90" w:type="dxa"/>
            </w:tcMar>
          </w:tcPr>
          <w:p>
            <w:pPr>
              <w:spacing w:after="0"/>
            </w:pPr>
            <w:r>
              <w:rPr>
                <w:sz w:val="14"/>
              </w:rPr>
            </w:r>
            <w:r>
              <w:rPr>
                <w:sz w:val="14"/>
              </w:rPr>
              <w:t xml:space="preserve">source reconciliation + </w:t>
            </w:r>
            <w:r>
              <w:rPr>
                <w:rFonts w:ascii="Consolas" w:hAnsi="Consolas"/>
                <w:sz w:val="14"/>
              </w:rPr>
              <w:t>fact_event_quality</w:t>
            </w:r>
          </w:p>
        </w:tc>
        <w:tc>
          <w:tcPr>
            <w:tcW w:type="dxa" w:w="1704"/>
            <w:vAlign w:val="center"/>
            <w:tcMar>
              <w:top w:w="80" w:type="dxa"/>
              <w:start w:w="90" w:type="dxa"/>
              <w:bottom w:w="80" w:type="dxa"/>
              <w:end w:w="90" w:type="dxa"/>
            </w:tcMar>
          </w:tcPr>
          <w:p>
            <w:pPr>
              <w:spacing w:after="0"/>
            </w:pPr>
            <w:r>
              <w:rPr>
                <w:sz w:val="14"/>
              </w:rPr>
            </w:r>
            <w:r>
              <w:rPr>
                <w:sz w:val="14"/>
              </w:rPr>
              <w:t>Daily</w:t>
            </w:r>
          </w:p>
        </w:tc>
        <w:tc>
          <w:tcPr>
            <w:tcW w:type="dxa" w:w="1704"/>
            <w:vAlign w:val="center"/>
            <w:tcMar>
              <w:top w:w="80" w:type="dxa"/>
              <w:start w:w="90" w:type="dxa"/>
              <w:bottom w:w="80" w:type="dxa"/>
              <w:end w:w="90" w:type="dxa"/>
            </w:tcMar>
          </w:tcPr>
          <w:p>
            <w:pPr>
              <w:spacing w:after="0"/>
            </w:pPr>
            <w:r>
              <w:rPr>
                <w:sz w:val="14"/>
              </w:rPr>
            </w:r>
            <w:r>
              <w:rPr>
                <w:sz w:val="14"/>
              </w:rPr>
              <w:t>Data Engineering; expected event denominator needed</w:t>
            </w:r>
          </w:p>
        </w:tc>
      </w:tr>
      <w:tr>
        <w:tc>
          <w:tcPr>
            <w:tcW w:type="dxa" w:w="1704"/>
            <w:vAlign w:val="center"/>
            <w:tcMar>
              <w:top w:w="80" w:type="dxa"/>
              <w:start w:w="90" w:type="dxa"/>
              <w:bottom w:w="80" w:type="dxa"/>
              <w:end w:w="90" w:type="dxa"/>
            </w:tcMar>
          </w:tcPr>
          <w:p>
            <w:pPr>
              <w:spacing w:after="0"/>
            </w:pPr>
            <w:r>
              <w:rPr>
                <w:sz w:val="14"/>
              </w:rPr>
            </w:r>
            <w:r>
              <w:rPr>
                <w:sz w:val="14"/>
              </w:rPr>
              <w:t>DQ-002</w:t>
            </w:r>
          </w:p>
        </w:tc>
        <w:tc>
          <w:tcPr>
            <w:tcW w:type="dxa" w:w="1704"/>
            <w:vAlign w:val="center"/>
            <w:tcMar>
              <w:top w:w="80" w:type="dxa"/>
              <w:start w:w="90" w:type="dxa"/>
              <w:bottom w:w="80" w:type="dxa"/>
              <w:end w:w="90" w:type="dxa"/>
            </w:tcMar>
          </w:tcPr>
          <w:p>
            <w:pPr>
              <w:spacing w:after="0"/>
            </w:pPr>
            <w:r>
              <w:rPr>
                <w:sz w:val="14"/>
              </w:rPr>
            </w:r>
            <w:r>
              <w:rPr>
                <w:sz w:val="14"/>
              </w:rPr>
              <w:t>Duplicate rate</w:t>
            </w:r>
          </w:p>
        </w:tc>
        <w:tc>
          <w:tcPr>
            <w:tcW w:type="dxa" w:w="1704"/>
            <w:vAlign w:val="center"/>
            <w:tcMar>
              <w:top w:w="80" w:type="dxa"/>
              <w:start w:w="90" w:type="dxa"/>
              <w:bottom w:w="80" w:type="dxa"/>
              <w:end w:w="90" w:type="dxa"/>
            </w:tcMar>
          </w:tcPr>
          <w:p>
            <w:pPr>
              <w:spacing w:after="0"/>
            </w:pPr>
            <w:r>
              <w:rPr>
                <w:sz w:val="14"/>
              </w:rPr>
            </w:r>
            <w:r>
              <w:rPr>
                <w:sz w:val="14"/>
              </w:rPr>
              <w:t>Duplicate event IDs / received event rows</w:t>
            </w:r>
          </w:p>
        </w:tc>
        <w:tc>
          <w:tcPr>
            <w:tcW w:type="dxa" w:w="1704"/>
            <w:vAlign w:val="center"/>
            <w:tcMar>
              <w:top w:w="80" w:type="dxa"/>
              <w:start w:w="90" w:type="dxa"/>
              <w:bottom w:w="80" w:type="dxa"/>
              <w:end w:w="90" w:type="dxa"/>
            </w:tcMar>
          </w:tcPr>
          <w:p>
            <w:pPr>
              <w:spacing w:after="0"/>
            </w:pPr>
            <w:r>
              <w:rPr>
                <w:sz w:val="14"/>
              </w:rPr>
            </w:r>
            <w:r>
              <w:rPr>
                <w:sz w:val="14"/>
              </w:rPr>
              <w:t>raw/validated events</w:t>
            </w:r>
          </w:p>
        </w:tc>
        <w:tc>
          <w:tcPr>
            <w:tcW w:type="dxa" w:w="1704"/>
            <w:vAlign w:val="center"/>
            <w:tcMar>
              <w:top w:w="80" w:type="dxa"/>
              <w:start w:w="90" w:type="dxa"/>
              <w:bottom w:w="80" w:type="dxa"/>
              <w:end w:w="90" w:type="dxa"/>
            </w:tcMar>
          </w:tcPr>
          <w:p>
            <w:pPr>
              <w:spacing w:after="0"/>
            </w:pPr>
            <w:r>
              <w:rPr>
                <w:sz w:val="14"/>
              </w:rPr>
            </w:r>
            <w:r>
              <w:rPr>
                <w:sz w:val="14"/>
              </w:rPr>
              <w:t>Hourly/daily</w:t>
            </w:r>
          </w:p>
        </w:tc>
        <w:tc>
          <w:tcPr>
            <w:tcW w:type="dxa" w:w="1704"/>
            <w:vAlign w:val="center"/>
            <w:tcMar>
              <w:top w:w="80" w:type="dxa"/>
              <w:start w:w="90" w:type="dxa"/>
              <w:bottom w:w="80" w:type="dxa"/>
              <w:end w:w="90" w:type="dxa"/>
            </w:tcMar>
          </w:tcPr>
          <w:p>
            <w:pPr>
              <w:spacing w:after="0"/>
            </w:pPr>
            <w:r>
              <w:rPr>
                <w:sz w:val="14"/>
              </w:rPr>
            </w:r>
            <w:r>
              <w:rPr>
                <w:sz w:val="14"/>
              </w:rPr>
              <w:t>Data Engineering; target proposed after baseline</w:t>
            </w:r>
          </w:p>
        </w:tc>
      </w:tr>
      <w:tr>
        <w:tc>
          <w:tcPr>
            <w:tcW w:type="dxa" w:w="1704"/>
            <w:vAlign w:val="center"/>
            <w:tcMar>
              <w:top w:w="80" w:type="dxa"/>
              <w:start w:w="90" w:type="dxa"/>
              <w:bottom w:w="80" w:type="dxa"/>
              <w:end w:w="90" w:type="dxa"/>
            </w:tcMar>
          </w:tcPr>
          <w:p>
            <w:pPr>
              <w:spacing w:after="0"/>
            </w:pPr>
            <w:r>
              <w:rPr>
                <w:sz w:val="14"/>
              </w:rPr>
            </w:r>
            <w:r>
              <w:rPr>
                <w:sz w:val="14"/>
              </w:rPr>
              <w:t>DQ-003</w:t>
            </w:r>
          </w:p>
        </w:tc>
        <w:tc>
          <w:tcPr>
            <w:tcW w:type="dxa" w:w="1704"/>
            <w:vAlign w:val="center"/>
            <w:tcMar>
              <w:top w:w="80" w:type="dxa"/>
              <w:start w:w="90" w:type="dxa"/>
              <w:bottom w:w="80" w:type="dxa"/>
              <w:end w:w="90" w:type="dxa"/>
            </w:tcMar>
          </w:tcPr>
          <w:p>
            <w:pPr>
              <w:spacing w:after="0"/>
            </w:pPr>
            <w:r>
              <w:rPr>
                <w:sz w:val="14"/>
              </w:rPr>
            </w:r>
            <w:r>
              <w:rPr>
                <w:sz w:val="14"/>
              </w:rPr>
              <w:t>Freshness lag</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warehouse_available_at - occurred_at</w:t>
            </w:r>
            <w:r>
              <w:rPr>
                <w:sz w:val="14"/>
              </w:rPr>
              <w:t>; event-time cohort</w:t>
            </w:r>
          </w:p>
        </w:tc>
        <w:tc>
          <w:tcPr>
            <w:tcW w:type="dxa" w:w="1704"/>
            <w:vAlign w:val="center"/>
            <w:tcMar>
              <w:top w:w="80" w:type="dxa"/>
              <w:start w:w="90" w:type="dxa"/>
              <w:bottom w:w="80" w:type="dxa"/>
              <w:end w:w="90" w:type="dxa"/>
            </w:tcMar>
          </w:tcPr>
          <w:p>
            <w:pPr>
              <w:spacing w:after="0"/>
            </w:pPr>
            <w:r>
              <w:rPr>
                <w:sz w:val="14"/>
              </w:rPr>
            </w:r>
            <w:r>
              <w:rPr>
                <w:rFonts w:ascii="Consolas" w:hAnsi="Consolas"/>
                <w:sz w:val="14"/>
              </w:rPr>
              <w:t>fact_pipeline_run</w:t>
            </w:r>
            <w:r>
              <w:rPr>
                <w:sz w:val="14"/>
              </w:rPr>
              <w:t>, event metadata</w:t>
            </w:r>
          </w:p>
        </w:tc>
        <w:tc>
          <w:tcPr>
            <w:tcW w:type="dxa" w:w="1704"/>
            <w:vAlign w:val="center"/>
            <w:tcMar>
              <w:top w:w="80" w:type="dxa"/>
              <w:start w:w="90" w:type="dxa"/>
              <w:bottom w:w="80" w:type="dxa"/>
              <w:end w:w="90" w:type="dxa"/>
            </w:tcMar>
          </w:tcPr>
          <w:p>
            <w:pPr>
              <w:spacing w:after="0"/>
            </w:pPr>
            <w:r>
              <w:rPr>
                <w:sz w:val="14"/>
              </w:rPr>
            </w:r>
            <w:r>
              <w:rPr>
                <w:sz w:val="14"/>
              </w:rPr>
              <w:t>Operational monitoring</w:t>
            </w:r>
          </w:p>
        </w:tc>
        <w:tc>
          <w:tcPr>
            <w:tcW w:type="dxa" w:w="1704"/>
            <w:vAlign w:val="center"/>
            <w:tcMar>
              <w:top w:w="80" w:type="dxa"/>
              <w:start w:w="90" w:type="dxa"/>
              <w:bottom w:w="80" w:type="dxa"/>
              <w:end w:w="90" w:type="dxa"/>
            </w:tcMar>
          </w:tcPr>
          <w:p>
            <w:pPr>
              <w:spacing w:after="0"/>
            </w:pPr>
            <w:r>
              <w:rPr>
                <w:sz w:val="14"/>
              </w:rPr>
            </w:r>
            <w:r>
              <w:rPr>
                <w:sz w:val="14"/>
              </w:rPr>
              <w:t>Data Engineering; SLA TBD</w:t>
            </w:r>
          </w:p>
        </w:tc>
      </w:tr>
    </w:tbl>
    <w:p>
      <w:pPr>
        <w:spacing w:after="20"/>
      </w:pPr>
    </w:p>
    <w:p>
      <w:pPr>
        <w:pStyle w:val="Heading1"/>
      </w:pPr>
      <w:r>
        <w:t>5. Metric calculation rules</w:t>
      </w:r>
    </w:p>
    <w:p>
      <w:pPr>
        <w:pStyle w:val="Heading2"/>
      </w:pPr>
      <w:r>
        <w:t>Common semantics</w:t>
      </w:r>
    </w:p>
    <w:p>
      <w:pPr>
        <w:pStyle w:val="ListBullet"/>
      </w:pPr>
      <w:r>
        <w:t>Store timestamps in UTC; retain original timezone/offset only when needed to interpret user-entered times. Dashboard timezone is an explicit filter, not a silent storage conversion.</w:t>
      </w:r>
    </w:p>
    <w:p>
      <w:pPr>
        <w:pStyle w:val="ListBullet"/>
      </w:pPr>
      <w:r>
        <w:t>Use authoritative server timestamps for acceptance, approval, Canon commit and security events. Client timestamps are diagnostic only.</w:t>
      </w:r>
    </w:p>
    <w:p>
      <w:pPr>
        <w:pStyle w:val="ListBullet"/>
      </w:pPr>
      <w:r>
        <w:t xml:space="preserve">Store </w:t>
      </w:r>
      <w:r>
        <w:rPr>
          <w:rFonts w:ascii="Consolas" w:hAnsi="Consolas"/>
          <w:sz w:val="17"/>
        </w:rPr>
        <w:t>occurred_at</w:t>
      </w:r>
      <w:r>
        <w:t xml:space="preserve"> and </w:t>
      </w:r>
      <w:r>
        <w:rPr>
          <w:rFonts w:ascii="Consolas" w:hAnsi="Consolas"/>
          <w:sz w:val="17"/>
        </w:rPr>
        <w:t>received_at</w:t>
      </w:r>
      <w:r>
        <w:t>; late-arriving data updates event-time cohorts through idempotent reprocessing.</w:t>
      </w:r>
    </w:p>
    <w:p>
      <w:pPr>
        <w:pStyle w:val="ListBullet"/>
      </w:pPr>
      <w:r>
        <w:t>Every aggregate includes environment, project eligibility and data-quality status. Expose denominator and excluded/incomplete counts.</w:t>
      </w:r>
    </w:p>
    <w:p>
      <w:pPr>
        <w:pStyle w:val="ListBullet"/>
      </w:pPr>
      <w:r>
        <w:t xml:space="preserve">Missing timestamps do not become zero. Report </w:t>
      </w:r>
      <w:r>
        <w:rPr>
          <w:rFonts w:ascii="Consolas" w:hAnsi="Consolas"/>
          <w:sz w:val="17"/>
        </w:rPr>
        <w:t>unknown</w:t>
      </w:r>
      <w:r>
        <w:t xml:space="preserve">, </w:t>
      </w:r>
      <w:r>
        <w:rPr>
          <w:rFonts w:ascii="Consolas" w:hAnsi="Consolas"/>
          <w:sz w:val="17"/>
        </w:rPr>
        <w:t>not measured</w:t>
      </w:r>
      <w:r>
        <w:t>, or excluded-with-reason according to metric contract.</w:t>
      </w:r>
    </w:p>
    <w:p>
      <w:pPr>
        <w:pStyle w:val="ListBullet"/>
      </w:pPr>
      <w:r>
        <w:t>Never infer approval from a successful AI run, artifact save, “approved” UI label without server confirmation, or presence of a candidate.</w:t>
      </w:r>
    </w:p>
    <w:p>
      <w:pPr>
        <w:pStyle w:val="ListBullet"/>
      </w:pPr>
      <w:r>
        <w:t>A package is approved only when a versioned package passes the approved completeness contract and an authorized human approval is recorded.</w:t>
      </w:r>
    </w:p>
    <w:p>
      <w:pPr>
        <w:pStyle w:val="ListBullet"/>
      </w:pPr>
      <w:r>
        <w:t>A project can have multiple package versions. NSM reports the first qualifying approval for time-to-first-package and each later approved package separately only where that analytical question is explicit.</w:t>
      </w:r>
    </w:p>
    <w:p>
      <w:pPr>
        <w:pStyle w:val="Heading2"/>
      </w:pPr>
      <w:r>
        <w:t>SQL-style pseudocode: NSM</w:t>
      </w:r>
    </w:p>
    <w:p>
      <w:pPr>
        <w:ind w:left="259"/>
      </w:pPr>
      <w:r>
        <w:rPr>
          <w:rFonts w:ascii="Consolas" w:hAnsi="Consolas"/>
          <w:sz w:val="15"/>
        </w:rPr>
        <w:t>WITH starts AS (</w:t>
        <w:br/>
        <w:t xml:space="preserve">  SELECT project_id, MIN(accepted_input_at) AS start_at</w:t>
        <w:br/>
        <w:t xml:space="preserve">  FROM fact_project_milestone</w:t>
        <w:br/>
        <w:t xml:space="preserve">  WHERE milestone_type = 'accepted_input'</w:t>
        <w:br/>
        <w:t xml:space="preserve">    AND environment = 'production'</w:t>
        <w:br/>
        <w:t xml:space="preserve">  GROUP BY project_id</w:t>
        <w:br/>
        <w:t>), approvals AS (</w:t>
        <w:br/>
        <w:t xml:space="preserve">  SELECT project_id, package_version_id,</w:t>
        <w:br/>
        <w:t xml:space="preserve">         MIN(approved_at) AS approved_at</w:t>
        <w:br/>
        <w:t xml:space="preserve">  FROM fact_project_milestone</w:t>
        <w:br/>
        <w:t xml:space="preserve">  WHERE milestone_type = 'human_approved_package'</w:t>
        <w:br/>
        <w:t xml:space="preserve">    AND completeness_status = 'complete'</w:t>
        <w:br/>
        <w:t xml:space="preserve">    AND approver_authorized = TRUE</w:t>
        <w:br/>
        <w:t xml:space="preserve">  GROUP BY project_id, package_version_id</w:t>
        <w:br/>
        <w:t>)</w:t>
        <w:br/>
        <w:t>SELECT a.project_id, a.package_version_id,</w:t>
        <w:br/>
        <w:t xml:space="preserve">       EXTRACT(EPOCH FROM (a.approved_at - s.start_at))/3600.0 AS elapsed_hours</w:t>
        <w:br/>
        <w:t>FROM approvals a JOIN starts s USING (project_id)</w:t>
        <w:br/>
        <w:t>WHERE a.approved_at &gt;= s.start_at;</w:t>
      </w:r>
    </w:p>
    <w:p>
      <w:r>
        <w:t>Production SQL must use the chosen warehouse dialect and handle multiple starts, reopening, test projects and version lineage according to the finalized lifecycle model.</w:t>
      </w:r>
    </w:p>
    <w:p>
      <w:pPr>
        <w:pStyle w:val="Heading2"/>
      </w:pPr>
      <w:r>
        <w:t>SQL-style pseudocode: acceptance</w:t>
      </w:r>
    </w:p>
    <w:p>
      <w:pPr>
        <w:ind w:left="259"/>
      </w:pPr>
      <w:r>
        <w:rPr>
          <w:rFonts w:ascii="Consolas" w:hAnsi="Consolas"/>
          <w:sz w:val="15"/>
        </w:rPr>
        <w:t>SELECT</w:t>
        <w:br/>
        <w:t xml:space="preserve">  COUNT(*) FILTER (WHERE decision = 'accepted')::decimal /</w:t>
        <w:br/>
        <w:t xml:space="preserve">  NULLIF(COUNT(*) FILTER (WHERE decision IN ('accepted','rejected')), 0)</w:t>
        <w:br/>
        <w:t xml:space="preserve">    AS explicit_decision_acceptance_rate</w:t>
        <w:br/>
        <w:t>FROM fact_candidate_decision</w:t>
        <w:br/>
        <w:t>WHERE decision_at &gt;= :window_start AND decision_at &lt; :window_end;</w:t>
      </w:r>
    </w:p>
    <w:p>
      <w:r>
        <w:t>Do not include pending, withdrawn, expired or unobserved candidates in the explicit decision denominator; report those statuses separately.</w:t>
      </w:r>
    </w:p>
    <w:p>
      <w:pPr>
        <w:pStyle w:val="Heading1"/>
      </w:pPr>
      <w:r>
        <w:t>6. KPI-to-event-to-model traceability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90" w:type="dxa"/>
              <w:bottom w:w="80" w:type="dxa"/>
              <w:end w:w="90" w:type="dxa"/>
            </w:tcMar>
            <w:shd w:fill="E9EEF5"/>
          </w:tcPr>
          <w:p>
            <w:pPr>
              <w:spacing w:after="0"/>
            </w:pPr>
            <w:r>
              <w:rPr>
                <w:b/>
                <w:color w:val="17365D"/>
                <w:sz w:val="14"/>
              </w:rPr>
            </w:r>
            <w:r>
              <w:rPr>
                <w:b/>
                <w:color w:val="17365D"/>
                <w:sz w:val="14"/>
              </w:rPr>
              <w:t>KPI</w:t>
            </w:r>
          </w:p>
        </w:tc>
        <w:tc>
          <w:tcPr>
            <w:tcW w:type="dxa" w:w="2556"/>
            <w:vAlign w:val="center"/>
            <w:tcMar>
              <w:top w:w="80" w:type="dxa"/>
              <w:start w:w="90" w:type="dxa"/>
              <w:bottom w:w="80" w:type="dxa"/>
              <w:end w:w="90" w:type="dxa"/>
            </w:tcMar>
            <w:shd w:fill="E9EEF5"/>
          </w:tcPr>
          <w:p>
            <w:pPr>
              <w:spacing w:after="0"/>
            </w:pPr>
            <w:r>
              <w:rPr>
                <w:b/>
                <w:color w:val="17365D"/>
                <w:sz w:val="14"/>
              </w:rPr>
            </w:r>
            <w:r>
              <w:rPr>
                <w:b/>
                <w:color w:val="17365D"/>
                <w:sz w:val="14"/>
              </w:rPr>
              <w:t>Required events</w:t>
            </w:r>
          </w:p>
        </w:tc>
        <w:tc>
          <w:tcPr>
            <w:tcW w:type="dxa" w:w="2556"/>
            <w:vAlign w:val="center"/>
            <w:tcMar>
              <w:top w:w="80" w:type="dxa"/>
              <w:start w:w="90" w:type="dxa"/>
              <w:bottom w:w="80" w:type="dxa"/>
              <w:end w:w="90" w:type="dxa"/>
            </w:tcMar>
            <w:shd w:fill="E9EEF5"/>
          </w:tcPr>
          <w:p>
            <w:pPr>
              <w:spacing w:after="0"/>
            </w:pPr>
            <w:r>
              <w:rPr>
                <w:b/>
                <w:color w:val="17365D"/>
                <w:sz w:val="14"/>
              </w:rPr>
            </w:r>
            <w:r>
              <w:rPr>
                <w:b/>
                <w:color w:val="17365D"/>
                <w:sz w:val="14"/>
              </w:rPr>
              <w:t>Required model / key</w:t>
            </w:r>
          </w:p>
        </w:tc>
        <w:tc>
          <w:tcPr>
            <w:tcW w:type="dxa" w:w="2556"/>
            <w:vAlign w:val="center"/>
            <w:tcMar>
              <w:top w:w="80" w:type="dxa"/>
              <w:start w:w="90" w:type="dxa"/>
              <w:bottom w:w="80" w:type="dxa"/>
              <w:end w:w="90" w:type="dxa"/>
            </w:tcMar>
            <w:shd w:fill="E9EEF5"/>
          </w:tcPr>
          <w:p>
            <w:pPr>
              <w:spacing w:after="0"/>
            </w:pPr>
            <w:r>
              <w:rPr>
                <w:b/>
                <w:color w:val="17365D"/>
                <w:sz w:val="14"/>
              </w:rPr>
            </w:r>
            <w:r>
              <w:rPr>
                <w:b/>
                <w:color w:val="17365D"/>
                <w:sz w:val="14"/>
              </w:rPr>
              <w:t>Gap or caveat</w:t>
            </w:r>
          </w:p>
        </w:tc>
      </w:tr>
      <w:tr>
        <w:tc>
          <w:tcPr>
            <w:tcW w:type="dxa" w:w="2556"/>
            <w:vAlign w:val="center"/>
            <w:tcMar>
              <w:top w:w="80" w:type="dxa"/>
              <w:start w:w="90" w:type="dxa"/>
              <w:bottom w:w="80" w:type="dxa"/>
              <w:end w:w="90" w:type="dxa"/>
            </w:tcMar>
          </w:tcPr>
          <w:p>
            <w:pPr>
              <w:spacing w:after="0"/>
            </w:pPr>
            <w:r>
              <w:rPr>
                <w:sz w:val="14"/>
              </w:rPr>
            </w:r>
            <w:r>
              <w:rPr>
                <w:sz w:val="14"/>
              </w:rPr>
              <w:t>NSM-001</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project.input_accepted</w:t>
            </w:r>
            <w:r>
              <w:rPr>
                <w:sz w:val="14"/>
              </w:rPr>
              <w:t xml:space="preserve">, </w:t>
            </w:r>
            <w:r>
              <w:rPr>
                <w:rFonts w:ascii="Consolas" w:hAnsi="Consolas"/>
                <w:sz w:val="14"/>
              </w:rPr>
              <w:t>package.approval_recorded</w:t>
            </w:r>
            <w:r>
              <w:rPr>
                <w:sz w:val="14"/>
              </w:rPr>
              <w:t xml:space="preserve">, </w:t>
            </w:r>
            <w:r>
              <w:rPr>
                <w:rFonts w:ascii="Consolas" w:hAnsi="Consolas"/>
                <w:sz w:val="14"/>
              </w:rPr>
              <w:t>package.completeness_validated</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fact_project_milestone</w:t>
            </w:r>
            <w:r>
              <w:rPr>
                <w:sz w:val="14"/>
              </w:rPr>
              <w:t xml:space="preserve"> / project_id, package_version_id</w:t>
            </w:r>
          </w:p>
        </w:tc>
        <w:tc>
          <w:tcPr>
            <w:tcW w:type="dxa" w:w="2556"/>
            <w:vAlign w:val="center"/>
            <w:tcMar>
              <w:top w:w="80" w:type="dxa"/>
              <w:start w:w="90" w:type="dxa"/>
              <w:bottom w:w="80" w:type="dxa"/>
              <w:end w:w="90" w:type="dxa"/>
            </w:tcMar>
          </w:tcPr>
          <w:p>
            <w:pPr>
              <w:spacing w:after="0"/>
            </w:pPr>
            <w:r>
              <w:rPr>
                <w:sz w:val="14"/>
              </w:rPr>
            </w:r>
            <w:r>
              <w:rPr>
                <w:sz w:val="14"/>
              </w:rPr>
              <w:t>Completeness rubric and authoritative approval service must exist</w:t>
            </w:r>
          </w:p>
        </w:tc>
      </w:tr>
      <w:tr>
        <w:tc>
          <w:tcPr>
            <w:tcW w:type="dxa" w:w="2556"/>
            <w:vAlign w:val="center"/>
            <w:tcMar>
              <w:top w:w="80" w:type="dxa"/>
              <w:start w:w="90" w:type="dxa"/>
              <w:bottom w:w="80" w:type="dxa"/>
              <w:end w:w="90" w:type="dxa"/>
            </w:tcMar>
          </w:tcPr>
          <w:p>
            <w:pPr>
              <w:spacing w:after="0"/>
            </w:pPr>
            <w:r>
              <w:rPr>
                <w:sz w:val="14"/>
              </w:rPr>
            </w:r>
            <w:r>
              <w:rPr>
                <w:sz w:val="14"/>
              </w:rPr>
              <w:t>KPI-002</w:t>
            </w:r>
          </w:p>
        </w:tc>
        <w:tc>
          <w:tcPr>
            <w:tcW w:type="dxa" w:w="2556"/>
            <w:vAlign w:val="center"/>
            <w:tcMar>
              <w:top w:w="80" w:type="dxa"/>
              <w:start w:w="90" w:type="dxa"/>
              <w:bottom w:w="80" w:type="dxa"/>
              <w:end w:w="90" w:type="dxa"/>
            </w:tcMar>
          </w:tcPr>
          <w:p>
            <w:pPr>
              <w:spacing w:after="0"/>
            </w:pPr>
            <w:r>
              <w:rPr>
                <w:sz w:val="14"/>
              </w:rPr>
            </w:r>
            <w:r>
              <w:rPr>
                <w:sz w:val="14"/>
              </w:rPr>
              <w:t xml:space="preserve">input accepted, </w:t>
            </w:r>
            <w:r>
              <w:rPr>
                <w:rFonts w:ascii="Consolas" w:hAnsi="Consolas"/>
                <w:sz w:val="14"/>
              </w:rPr>
              <w:t>candidate.created</w:t>
            </w:r>
            <w:r>
              <w:rPr>
                <w:sz w:val="14"/>
              </w:rPr>
              <w:t>, candidate qualified/reviewed</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fact_workflow_milestone</w:t>
            </w:r>
            <w:r>
              <w:rPr>
                <w:sz w:val="14"/>
              </w:rPr>
              <w:t xml:space="preserve"> / candidate_id</w:t>
            </w:r>
          </w:p>
        </w:tc>
        <w:tc>
          <w:tcPr>
            <w:tcW w:type="dxa" w:w="2556"/>
            <w:vAlign w:val="center"/>
            <w:tcMar>
              <w:top w:w="80" w:type="dxa"/>
              <w:start w:w="90" w:type="dxa"/>
              <w:bottom w:w="80" w:type="dxa"/>
              <w:end w:w="90" w:type="dxa"/>
            </w:tcMar>
          </w:tcPr>
          <w:p>
            <w:pPr>
              <w:spacing w:after="0"/>
            </w:pPr>
            <w:r>
              <w:rPr>
                <w:sz w:val="14"/>
              </w:rPr>
            </w:r>
            <w:r>
              <w:rPr>
                <w:sz w:val="14"/>
              </w:rPr>
              <w:t>“Useful” must be human rubric or approved deterministic criteria</w:t>
            </w:r>
          </w:p>
        </w:tc>
      </w:tr>
      <w:tr>
        <w:tc>
          <w:tcPr>
            <w:tcW w:type="dxa" w:w="2556"/>
            <w:vAlign w:val="center"/>
            <w:tcMar>
              <w:top w:w="80" w:type="dxa"/>
              <w:start w:w="90" w:type="dxa"/>
              <w:bottom w:w="80" w:type="dxa"/>
              <w:end w:w="90" w:type="dxa"/>
            </w:tcMar>
          </w:tcPr>
          <w:p>
            <w:pPr>
              <w:spacing w:after="0"/>
            </w:pPr>
            <w:r>
              <w:rPr>
                <w:sz w:val="14"/>
              </w:rPr>
            </w:r>
            <w:r>
              <w:rPr>
                <w:sz w:val="14"/>
              </w:rPr>
              <w:t>KPI-003</w:t>
            </w:r>
          </w:p>
        </w:tc>
        <w:tc>
          <w:tcPr>
            <w:tcW w:type="dxa" w:w="2556"/>
            <w:vAlign w:val="center"/>
            <w:tcMar>
              <w:top w:w="80" w:type="dxa"/>
              <w:start w:w="90" w:type="dxa"/>
              <w:bottom w:w="80" w:type="dxa"/>
              <w:end w:w="90" w:type="dxa"/>
            </w:tcMar>
          </w:tcPr>
          <w:p>
            <w:pPr>
              <w:spacing w:after="0"/>
            </w:pPr>
            <w:r>
              <w:rPr>
                <w:sz w:val="14"/>
              </w:rPr>
            </w:r>
            <w:r>
              <w:rPr>
                <w:sz w:val="14"/>
              </w:rPr>
              <w:t>work session start/stop or explicit time allocation</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fact_work_session</w:t>
            </w:r>
            <w:r>
              <w:rPr>
                <w:sz w:val="14"/>
              </w:rPr>
              <w:t xml:space="preserve"> / actor_id, project_id</w:t>
            </w:r>
          </w:p>
        </w:tc>
        <w:tc>
          <w:tcPr>
            <w:tcW w:type="dxa" w:w="2556"/>
            <w:vAlign w:val="center"/>
            <w:tcMar>
              <w:top w:w="80" w:type="dxa"/>
              <w:start w:w="90" w:type="dxa"/>
              <w:bottom w:w="80" w:type="dxa"/>
              <w:end w:w="90" w:type="dxa"/>
            </w:tcMar>
          </w:tcPr>
          <w:p>
            <w:pPr>
              <w:spacing w:after="0"/>
            </w:pPr>
            <w:r>
              <w:rPr>
                <w:sz w:val="14"/>
              </w:rPr>
            </w:r>
            <w:r>
              <w:rPr>
                <w:sz w:val="14"/>
              </w:rPr>
              <w:t>Passive tracking should not be assumed; privacy review required</w:t>
            </w:r>
          </w:p>
        </w:tc>
      </w:tr>
      <w:tr>
        <w:tc>
          <w:tcPr>
            <w:tcW w:type="dxa" w:w="2556"/>
            <w:vAlign w:val="center"/>
            <w:tcMar>
              <w:top w:w="80" w:type="dxa"/>
              <w:start w:w="90" w:type="dxa"/>
              <w:bottom w:w="80" w:type="dxa"/>
              <w:end w:w="90" w:type="dxa"/>
            </w:tcMar>
          </w:tcPr>
          <w:p>
            <w:pPr>
              <w:spacing w:after="0"/>
            </w:pPr>
            <w:r>
              <w:rPr>
                <w:sz w:val="14"/>
              </w:rPr>
            </w:r>
            <w:r>
              <w:rPr>
                <w:sz w:val="14"/>
              </w:rPr>
              <w:t>KPI-004</w:t>
            </w:r>
          </w:p>
        </w:tc>
        <w:tc>
          <w:tcPr>
            <w:tcW w:type="dxa" w:w="2556"/>
            <w:vAlign w:val="center"/>
            <w:tcMar>
              <w:top w:w="80" w:type="dxa"/>
              <w:start w:w="90" w:type="dxa"/>
              <w:bottom w:w="80" w:type="dxa"/>
              <w:end w:w="90" w:type="dxa"/>
            </w:tcMar>
          </w:tcPr>
          <w:p>
            <w:pPr>
              <w:spacing w:after="0"/>
            </w:pPr>
            <w:r>
              <w:rPr>
                <w:sz w:val="14"/>
              </w:rPr>
            </w:r>
            <w:r>
              <w:rPr>
                <w:sz w:val="14"/>
              </w:rPr>
              <w:t>artifact version created, candidate decision, revision reason</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fact_artifact_revision</w:t>
            </w:r>
          </w:p>
        </w:tc>
        <w:tc>
          <w:tcPr>
            <w:tcW w:type="dxa" w:w="2556"/>
            <w:vAlign w:val="center"/>
            <w:tcMar>
              <w:top w:w="80" w:type="dxa"/>
              <w:start w:w="90" w:type="dxa"/>
              <w:bottom w:w="80" w:type="dxa"/>
              <w:end w:w="90" w:type="dxa"/>
            </w:tcMar>
          </w:tcPr>
          <w:p>
            <w:pPr>
              <w:spacing w:after="0"/>
            </w:pPr>
            <w:r>
              <w:rPr>
                <w:sz w:val="14"/>
              </w:rPr>
            </w:r>
            <w:r>
              <w:rPr>
                <w:sz w:val="14"/>
              </w:rPr>
              <w:t>Revision taxonomy needed; auto-save events are not substantive cycles</w:t>
            </w:r>
          </w:p>
        </w:tc>
      </w:tr>
      <w:tr>
        <w:tc>
          <w:tcPr>
            <w:tcW w:type="dxa" w:w="2556"/>
            <w:vAlign w:val="center"/>
            <w:tcMar>
              <w:top w:w="80" w:type="dxa"/>
              <w:start w:w="90" w:type="dxa"/>
              <w:bottom w:w="80" w:type="dxa"/>
              <w:end w:w="90" w:type="dxa"/>
            </w:tcMar>
          </w:tcPr>
          <w:p>
            <w:pPr>
              <w:spacing w:after="0"/>
            </w:pPr>
            <w:r>
              <w:rPr>
                <w:sz w:val="14"/>
              </w:rPr>
            </w:r>
            <w:r>
              <w:rPr>
                <w:sz w:val="14"/>
              </w:rPr>
              <w:t>KPI-006</w:t>
            </w:r>
          </w:p>
        </w:tc>
        <w:tc>
          <w:tcPr>
            <w:tcW w:type="dxa" w:w="2556"/>
            <w:vAlign w:val="center"/>
            <w:tcMar>
              <w:top w:w="80" w:type="dxa"/>
              <w:start w:w="90" w:type="dxa"/>
              <w:bottom w:w="80" w:type="dxa"/>
              <w:end w:w="90" w:type="dxa"/>
            </w:tcMar>
          </w:tcPr>
          <w:p>
            <w:pPr>
              <w:spacing w:after="0"/>
            </w:pPr>
            <w:r>
              <w:rPr>
                <w:sz w:val="14"/>
              </w:rPr>
            </w:r>
            <w:r>
              <w:rPr>
                <w:sz w:val="14"/>
              </w:rPr>
              <w:t>package template/version, section state, approval validation</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fact_package_section</w:t>
            </w:r>
          </w:p>
        </w:tc>
        <w:tc>
          <w:tcPr>
            <w:tcW w:type="dxa" w:w="2556"/>
            <w:vAlign w:val="center"/>
            <w:tcMar>
              <w:top w:w="80" w:type="dxa"/>
              <w:start w:w="90" w:type="dxa"/>
              <w:bottom w:w="80" w:type="dxa"/>
              <w:end w:w="90" w:type="dxa"/>
            </w:tcMar>
          </w:tcPr>
          <w:p>
            <w:pPr>
              <w:spacing w:after="0"/>
            </w:pPr>
            <w:r>
              <w:rPr>
                <w:sz w:val="14"/>
              </w:rPr>
            </w:r>
            <w:r>
              <w:rPr>
                <w:sz w:val="14"/>
              </w:rPr>
              <w:t>Required sections vary by project type/template version</w:t>
            </w:r>
          </w:p>
        </w:tc>
      </w:tr>
      <w:tr>
        <w:tc>
          <w:tcPr>
            <w:tcW w:type="dxa" w:w="2556"/>
            <w:vAlign w:val="center"/>
            <w:tcMar>
              <w:top w:w="80" w:type="dxa"/>
              <w:start w:w="90" w:type="dxa"/>
              <w:bottom w:w="80" w:type="dxa"/>
              <w:end w:w="90" w:type="dxa"/>
            </w:tcMar>
          </w:tcPr>
          <w:p>
            <w:pPr>
              <w:spacing w:after="0"/>
            </w:pPr>
            <w:r>
              <w:rPr>
                <w:sz w:val="14"/>
              </w:rPr>
            </w:r>
            <w:r>
              <w:rPr>
                <w:sz w:val="14"/>
              </w:rPr>
              <w:t>KPI-007</w:t>
            </w:r>
          </w:p>
        </w:tc>
        <w:tc>
          <w:tcPr>
            <w:tcW w:type="dxa" w:w="2556"/>
            <w:vAlign w:val="center"/>
            <w:tcMar>
              <w:top w:w="80" w:type="dxa"/>
              <w:start w:w="90" w:type="dxa"/>
              <w:bottom w:w="80" w:type="dxa"/>
              <w:end w:w="90" w:type="dxa"/>
            </w:tcMar>
          </w:tcPr>
          <w:p>
            <w:pPr>
              <w:spacing w:after="0"/>
            </w:pPr>
            <w:r>
              <w:rPr>
                <w:sz w:val="14"/>
              </w:rPr>
            </w:r>
            <w:r>
              <w:rPr>
                <w:sz w:val="14"/>
              </w:rPr>
              <w:t>candidate submitted, accepted/rejected decision</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fact_candidate_decision</w:t>
            </w:r>
          </w:p>
        </w:tc>
        <w:tc>
          <w:tcPr>
            <w:tcW w:type="dxa" w:w="2556"/>
            <w:vAlign w:val="center"/>
            <w:tcMar>
              <w:top w:w="80" w:type="dxa"/>
              <w:start w:w="90" w:type="dxa"/>
              <w:bottom w:w="80" w:type="dxa"/>
              <w:end w:w="90" w:type="dxa"/>
            </w:tcMar>
          </w:tcPr>
          <w:p>
            <w:pPr>
              <w:spacing w:after="0"/>
            </w:pPr>
            <w:r>
              <w:rPr>
                <w:sz w:val="14"/>
              </w:rPr>
            </w:r>
            <w:r>
              <w:rPr>
                <w:sz w:val="14"/>
              </w:rPr>
              <w:t>No inference from edits alone</w:t>
            </w:r>
          </w:p>
        </w:tc>
      </w:tr>
      <w:tr>
        <w:tc>
          <w:tcPr>
            <w:tcW w:type="dxa" w:w="2556"/>
            <w:vAlign w:val="center"/>
            <w:tcMar>
              <w:top w:w="80" w:type="dxa"/>
              <w:start w:w="90" w:type="dxa"/>
              <w:bottom w:w="80" w:type="dxa"/>
              <w:end w:w="90" w:type="dxa"/>
            </w:tcMar>
          </w:tcPr>
          <w:p>
            <w:pPr>
              <w:spacing w:after="0"/>
            </w:pPr>
            <w:r>
              <w:rPr>
                <w:sz w:val="14"/>
              </w:rPr>
            </w:r>
            <w:r>
              <w:rPr>
                <w:sz w:val="14"/>
              </w:rPr>
              <w:t>KPI-008</w:t>
            </w:r>
          </w:p>
        </w:tc>
        <w:tc>
          <w:tcPr>
            <w:tcW w:type="dxa" w:w="2556"/>
            <w:vAlign w:val="center"/>
            <w:tcMar>
              <w:top w:w="80" w:type="dxa"/>
              <w:start w:w="90" w:type="dxa"/>
              <w:bottom w:w="80" w:type="dxa"/>
              <w:end w:w="90" w:type="dxa"/>
            </w:tcMar>
          </w:tcPr>
          <w:p>
            <w:pPr>
              <w:spacing w:after="0"/>
            </w:pPr>
            <w:r>
              <w:rPr>
                <w:sz w:val="14"/>
              </w:rPr>
            </w:r>
            <w:r>
              <w:rPr>
                <w:sz w:val="14"/>
              </w:rPr>
              <w:t>claim evaluated, evidence linked, source verified state</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fact_claim_evaluation</w:t>
            </w:r>
            <w:r>
              <w:rPr>
                <w:sz w:val="14"/>
              </w:rPr>
              <w:t>, bridge table</w:t>
            </w:r>
          </w:p>
        </w:tc>
        <w:tc>
          <w:tcPr>
            <w:tcW w:type="dxa" w:w="2556"/>
            <w:vAlign w:val="center"/>
            <w:tcMar>
              <w:top w:w="80" w:type="dxa"/>
              <w:start w:w="90" w:type="dxa"/>
              <w:bottom w:w="80" w:type="dxa"/>
              <w:end w:w="90" w:type="dxa"/>
            </w:tcMar>
          </w:tcPr>
          <w:p>
            <w:pPr>
              <w:spacing w:after="0"/>
            </w:pPr>
            <w:r>
              <w:rPr>
                <w:sz w:val="14"/>
              </w:rPr>
            </w:r>
            <w:r>
              <w:rPr>
                <w:sz w:val="14"/>
              </w:rPr>
              <w:t>Raw claim text should not enter general telemetry by default</w:t>
            </w:r>
          </w:p>
        </w:tc>
      </w:tr>
      <w:tr>
        <w:tc>
          <w:tcPr>
            <w:tcW w:type="dxa" w:w="2556"/>
            <w:vAlign w:val="center"/>
            <w:tcMar>
              <w:top w:w="80" w:type="dxa"/>
              <w:start w:w="90" w:type="dxa"/>
              <w:bottom w:w="80" w:type="dxa"/>
              <w:end w:w="90" w:type="dxa"/>
            </w:tcMar>
          </w:tcPr>
          <w:p>
            <w:pPr>
              <w:spacing w:after="0"/>
            </w:pPr>
            <w:r>
              <w:rPr>
                <w:sz w:val="14"/>
              </w:rPr>
            </w:r>
            <w:r>
              <w:rPr>
                <w:sz w:val="14"/>
              </w:rPr>
              <w:t>KPI-009</w:t>
            </w:r>
          </w:p>
        </w:tc>
        <w:tc>
          <w:tcPr>
            <w:tcW w:type="dxa" w:w="2556"/>
            <w:vAlign w:val="center"/>
            <w:tcMar>
              <w:top w:w="80" w:type="dxa"/>
              <w:start w:w="90" w:type="dxa"/>
              <w:bottom w:w="80" w:type="dxa"/>
              <w:end w:w="90" w:type="dxa"/>
            </w:tcMar>
          </w:tcPr>
          <w:p>
            <w:pPr>
              <w:spacing w:after="0"/>
            </w:pPr>
            <w:r>
              <w:rPr>
                <w:sz w:val="14"/>
              </w:rPr>
            </w:r>
            <w:r>
              <w:rPr>
                <w:sz w:val="14"/>
              </w:rPr>
              <w:t>continuity check completed, defect confirmed/resolved</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fact_continuity_check</w:t>
            </w:r>
            <w:r>
              <w:rPr>
                <w:sz w:val="14"/>
              </w:rPr>
              <w:t xml:space="preserve">, </w:t>
            </w:r>
            <w:r>
              <w:rPr>
                <w:rFonts w:ascii="Consolas" w:hAnsi="Consolas"/>
                <w:sz w:val="14"/>
              </w:rPr>
              <w:t>fact_defect</w:t>
            </w:r>
          </w:p>
        </w:tc>
        <w:tc>
          <w:tcPr>
            <w:tcW w:type="dxa" w:w="2556"/>
            <w:vAlign w:val="center"/>
            <w:tcMar>
              <w:top w:w="80" w:type="dxa"/>
              <w:start w:w="90" w:type="dxa"/>
              <w:bottom w:w="80" w:type="dxa"/>
              <w:end w:w="90" w:type="dxa"/>
            </w:tcMar>
          </w:tcPr>
          <w:p>
            <w:pPr>
              <w:spacing w:after="0"/>
            </w:pPr>
            <w:r>
              <w:rPr>
                <w:sz w:val="14"/>
              </w:rPr>
            </w:r>
            <w:r>
              <w:rPr>
                <w:sz w:val="14"/>
              </w:rPr>
              <w:t>AI-detected issue is not confirmed defect until review/labeling</w:t>
            </w:r>
          </w:p>
        </w:tc>
      </w:tr>
      <w:tr>
        <w:tc>
          <w:tcPr>
            <w:tcW w:type="dxa" w:w="2556"/>
            <w:vAlign w:val="center"/>
            <w:tcMar>
              <w:top w:w="80" w:type="dxa"/>
              <w:start w:w="90" w:type="dxa"/>
              <w:bottom w:w="80" w:type="dxa"/>
              <w:end w:w="90" w:type="dxa"/>
            </w:tcMar>
          </w:tcPr>
          <w:p>
            <w:pPr>
              <w:spacing w:after="0"/>
            </w:pPr>
            <w:r>
              <w:rPr>
                <w:sz w:val="14"/>
              </w:rPr>
            </w:r>
            <w:r>
              <w:rPr>
                <w:sz w:val="14"/>
              </w:rPr>
              <w:t>KPI-010</w:t>
            </w:r>
          </w:p>
        </w:tc>
        <w:tc>
          <w:tcPr>
            <w:tcW w:type="dxa" w:w="2556"/>
            <w:vAlign w:val="center"/>
            <w:tcMar>
              <w:top w:w="80" w:type="dxa"/>
              <w:start w:w="90" w:type="dxa"/>
              <w:bottom w:w="80" w:type="dxa"/>
              <w:end w:w="90" w:type="dxa"/>
            </w:tcMar>
          </w:tcPr>
          <w:p>
            <w:pPr>
              <w:spacing w:after="0"/>
            </w:pPr>
            <w:r>
              <w:rPr>
                <w:sz w:val="14"/>
              </w:rPr>
            </w:r>
            <w:r>
              <w:rPr>
                <w:sz w:val="14"/>
              </w:rPr>
              <w:t>policy violation, unauthorized action, Canon integrity failure</w:t>
            </w:r>
          </w:p>
        </w:tc>
        <w:tc>
          <w:tcPr>
            <w:tcW w:type="dxa" w:w="2556"/>
            <w:vAlign w:val="center"/>
            <w:tcMar>
              <w:top w:w="80" w:type="dxa"/>
              <w:start w:w="90" w:type="dxa"/>
              <w:bottom w:w="80" w:type="dxa"/>
              <w:end w:w="90" w:type="dxa"/>
            </w:tcMar>
          </w:tcPr>
          <w:p>
            <w:pPr>
              <w:spacing w:after="0"/>
            </w:pPr>
            <w:r>
              <w:rPr>
                <w:sz w:val="14"/>
              </w:rPr>
            </w:r>
            <w:r>
              <w:rPr>
                <w:sz w:val="14"/>
              </w:rPr>
              <w:t xml:space="preserve">restricted </w:t>
            </w:r>
            <w:r>
              <w:rPr>
                <w:rFonts w:ascii="Consolas" w:hAnsi="Consolas"/>
                <w:sz w:val="14"/>
              </w:rPr>
              <w:t>fact_security_ai_event</w:t>
            </w:r>
            <w:r>
              <w:rPr>
                <w:sz w:val="14"/>
              </w:rPr>
              <w:t xml:space="preserve"> + audit IDs</w:t>
            </w:r>
          </w:p>
        </w:tc>
        <w:tc>
          <w:tcPr>
            <w:tcW w:type="dxa" w:w="2556"/>
            <w:vAlign w:val="center"/>
            <w:tcMar>
              <w:top w:w="80" w:type="dxa"/>
              <w:start w:w="90" w:type="dxa"/>
              <w:bottom w:w="80" w:type="dxa"/>
              <w:end w:w="90" w:type="dxa"/>
            </w:tcMar>
          </w:tcPr>
          <w:p>
            <w:pPr>
              <w:spacing w:after="0"/>
            </w:pPr>
            <w:r>
              <w:rPr>
                <w:sz w:val="14"/>
              </w:rPr>
            </w:r>
            <w:r>
              <w:rPr>
                <w:sz w:val="14"/>
              </w:rPr>
              <w:t>Minimize payload; access restricted; not a vanity dashboard</w:t>
            </w:r>
          </w:p>
        </w:tc>
      </w:tr>
      <w:tr>
        <w:tc>
          <w:tcPr>
            <w:tcW w:type="dxa" w:w="2556"/>
            <w:vAlign w:val="center"/>
            <w:tcMar>
              <w:top w:w="80" w:type="dxa"/>
              <w:start w:w="90" w:type="dxa"/>
              <w:bottom w:w="80" w:type="dxa"/>
              <w:end w:w="90" w:type="dxa"/>
            </w:tcMar>
          </w:tcPr>
          <w:p>
            <w:pPr>
              <w:spacing w:after="0"/>
            </w:pPr>
            <w:r>
              <w:rPr>
                <w:sz w:val="14"/>
              </w:rPr>
            </w:r>
            <w:r>
              <w:rPr>
                <w:sz w:val="14"/>
              </w:rPr>
              <w:t>KPI-011</w:t>
            </w:r>
          </w:p>
        </w:tc>
        <w:tc>
          <w:tcPr>
            <w:tcW w:type="dxa" w:w="2556"/>
            <w:vAlign w:val="center"/>
            <w:tcMar>
              <w:top w:w="80" w:type="dxa"/>
              <w:start w:w="90" w:type="dxa"/>
              <w:bottom w:w="80" w:type="dxa"/>
              <w:end w:w="90" w:type="dxa"/>
            </w:tcMar>
          </w:tcPr>
          <w:p>
            <w:pPr>
              <w:spacing w:after="0"/>
            </w:pPr>
            <w:r>
              <w:rPr>
                <w:sz w:val="14"/>
              </w:rPr>
            </w:r>
            <w:r>
              <w:rPr>
                <w:sz w:val="14"/>
              </w:rPr>
              <w:t>package approval, team/project membership effective dates</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fact_project_milestone</w:t>
            </w:r>
            <w:r>
              <w:rPr>
                <w:sz w:val="14"/>
              </w:rPr>
              <w:t xml:space="preserve">, </w:t>
            </w:r>
            <w:r>
              <w:rPr>
                <w:rFonts w:ascii="Consolas" w:hAnsi="Consolas"/>
                <w:sz w:val="14"/>
              </w:rPr>
              <w:t>dim_team_membership</w:t>
            </w:r>
          </w:p>
        </w:tc>
        <w:tc>
          <w:tcPr>
            <w:tcW w:type="dxa" w:w="2556"/>
            <w:vAlign w:val="center"/>
            <w:tcMar>
              <w:top w:w="80" w:type="dxa"/>
              <w:start w:w="90" w:type="dxa"/>
              <w:bottom w:w="80" w:type="dxa"/>
              <w:end w:w="90" w:type="dxa"/>
            </w:tcMar>
          </w:tcPr>
          <w:p>
            <w:pPr>
              <w:spacing w:after="0"/>
            </w:pPr>
            <w:r>
              <w:rPr>
                <w:sz w:val="14"/>
              </w:rPr>
            </w:r>
            <w:r>
              <w:rPr>
                <w:sz w:val="14"/>
              </w:rPr>
              <w:t>Requires stable team attribution and history</w:t>
            </w:r>
          </w:p>
        </w:tc>
      </w:tr>
      <w:tr>
        <w:tc>
          <w:tcPr>
            <w:tcW w:type="dxa" w:w="2556"/>
            <w:vAlign w:val="center"/>
            <w:tcMar>
              <w:top w:w="80" w:type="dxa"/>
              <w:start w:w="90" w:type="dxa"/>
              <w:bottom w:w="80" w:type="dxa"/>
              <w:end w:w="90" w:type="dxa"/>
            </w:tcMar>
          </w:tcPr>
          <w:p>
            <w:pPr>
              <w:spacing w:after="0"/>
            </w:pPr>
            <w:r>
              <w:rPr>
                <w:sz w:val="14"/>
              </w:rPr>
            </w:r>
            <w:r>
              <w:rPr>
                <w:sz w:val="14"/>
              </w:rPr>
              <w:t>KPI-012</w:t>
            </w:r>
          </w:p>
        </w:tc>
        <w:tc>
          <w:tcPr>
            <w:tcW w:type="dxa" w:w="2556"/>
            <w:vAlign w:val="center"/>
            <w:tcMar>
              <w:top w:w="80" w:type="dxa"/>
              <w:start w:w="90" w:type="dxa"/>
              <w:bottom w:w="80" w:type="dxa"/>
              <w:end w:w="90" w:type="dxa"/>
            </w:tcMar>
          </w:tcPr>
          <w:p>
            <w:pPr>
              <w:spacing w:after="0"/>
            </w:pPr>
            <w:r>
              <w:rPr>
                <w:sz w:val="14"/>
              </w:rPr>
            </w:r>
            <w:r>
              <w:rPr>
                <w:sz w:val="14"/>
              </w:rPr>
              <w:t>context manifest item included, eligible item type/status</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bridge_context_manifest_item</w:t>
            </w:r>
          </w:p>
        </w:tc>
        <w:tc>
          <w:tcPr>
            <w:tcW w:type="dxa" w:w="2556"/>
            <w:vAlign w:val="center"/>
            <w:tcMar>
              <w:top w:w="80" w:type="dxa"/>
              <w:start w:w="90" w:type="dxa"/>
              <w:bottom w:w="80" w:type="dxa"/>
              <w:end w:w="90" w:type="dxa"/>
            </w:tcMar>
          </w:tcPr>
          <w:p>
            <w:pPr>
              <w:spacing w:after="0"/>
            </w:pPr>
            <w:r>
              <w:rPr>
                <w:sz w:val="14"/>
              </w:rPr>
            </w:r>
            <w:r>
              <w:rPr>
                <w:sz w:val="14"/>
              </w:rPr>
              <w:t>Track references/hashes, not copied content</w:t>
            </w:r>
          </w:p>
        </w:tc>
      </w:tr>
      <w:tr>
        <w:tc>
          <w:tcPr>
            <w:tcW w:type="dxa" w:w="2556"/>
            <w:vAlign w:val="center"/>
            <w:tcMar>
              <w:top w:w="80" w:type="dxa"/>
              <w:start w:w="90" w:type="dxa"/>
              <w:bottom w:w="80" w:type="dxa"/>
              <w:end w:w="90" w:type="dxa"/>
            </w:tcMar>
          </w:tcPr>
          <w:p>
            <w:pPr>
              <w:spacing w:after="0"/>
            </w:pPr>
            <w:r>
              <w:rPr>
                <w:sz w:val="14"/>
              </w:rPr>
            </w:r>
            <w:r>
              <w:rPr>
                <w:sz w:val="14"/>
              </w:rPr>
              <w:t>KPI-014 / AIM-005</w:t>
            </w:r>
          </w:p>
        </w:tc>
        <w:tc>
          <w:tcPr>
            <w:tcW w:type="dxa" w:w="2556"/>
            <w:vAlign w:val="center"/>
            <w:tcMar>
              <w:top w:w="80" w:type="dxa"/>
              <w:start w:w="90" w:type="dxa"/>
              <w:bottom w:w="80" w:type="dxa"/>
              <w:end w:w="90" w:type="dxa"/>
            </w:tcMar>
          </w:tcPr>
          <w:p>
            <w:pPr>
              <w:spacing w:after="0"/>
            </w:pPr>
            <w:r>
              <w:rPr>
                <w:sz w:val="14"/>
              </w:rPr>
            </w:r>
            <w:r>
              <w:rPr>
                <w:sz w:val="14"/>
              </w:rPr>
              <w:t>run started/terminal, model call usage, tool usage/cost</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fact_ai_run</w:t>
            </w:r>
            <w:r>
              <w:rPr>
                <w:sz w:val="14"/>
              </w:rPr>
              <w:t xml:space="preserve">, </w:t>
            </w:r>
            <w:r>
              <w:rPr>
                <w:rFonts w:ascii="Consolas" w:hAnsi="Consolas"/>
                <w:sz w:val="14"/>
              </w:rPr>
              <w:t>fact_model_call</w:t>
            </w:r>
            <w:r>
              <w:rPr>
                <w:sz w:val="14"/>
              </w:rPr>
              <w:t xml:space="preserve">, </w:t>
            </w:r>
            <w:r>
              <w:rPr>
                <w:rFonts w:ascii="Consolas" w:hAnsi="Consolas"/>
                <w:sz w:val="14"/>
              </w:rPr>
              <w:t>fact_tool_invocation</w:t>
            </w:r>
            <w:r>
              <w:rPr>
                <w:sz w:val="14"/>
              </w:rPr>
              <w:t xml:space="preserve">, </w:t>
            </w:r>
            <w:r>
              <w:rPr>
                <w:rFonts w:ascii="Consolas" w:hAnsi="Consolas"/>
                <w:sz w:val="14"/>
              </w:rPr>
              <w:t>fact_ai_cost</w:t>
            </w:r>
          </w:p>
        </w:tc>
        <w:tc>
          <w:tcPr>
            <w:tcW w:type="dxa" w:w="2556"/>
            <w:vAlign w:val="center"/>
            <w:tcMar>
              <w:top w:w="80" w:type="dxa"/>
              <w:start w:w="90" w:type="dxa"/>
              <w:bottom w:w="80" w:type="dxa"/>
              <w:end w:w="90" w:type="dxa"/>
            </w:tcMar>
          </w:tcPr>
          <w:p>
            <w:pPr>
              <w:spacing w:after="0"/>
            </w:pPr>
            <w:r>
              <w:rPr>
                <w:sz w:val="14"/>
              </w:rPr>
            </w:r>
            <w:r>
              <w:rPr>
                <w:sz w:val="14"/>
              </w:rPr>
              <w:t>Provider cost can be delayed/estimated; expose attribution coverage</w:t>
            </w:r>
          </w:p>
        </w:tc>
      </w:tr>
    </w:tbl>
    <w:p>
      <w:pPr>
        <w:spacing w:after="20"/>
      </w:pPr>
    </w:p>
    <w:p>
      <w:pPr>
        <w:pStyle w:val="Heading1"/>
      </w:pPr>
      <w:r>
        <w:t>7. Baselines, targets and interpretation</w:t>
      </w:r>
    </w:p>
    <w:p>
      <w:pPr>
        <w:pStyle w:val="ListBullet"/>
      </w:pPr>
      <w:r>
        <w:rPr>
          <w:b/>
        </w:rPr>
        <w:t>Confirmed:</w:t>
      </w:r>
      <w:r>
        <w:t xml:space="preserve"> outcome dimensions include development speed, project quality/trust and team capacity/reuse; time-to-approved package is the V1 North Star.</w:t>
      </w:r>
    </w:p>
    <w:p>
      <w:pPr>
        <w:pStyle w:val="ListBullet"/>
      </w:pPr>
      <w:r>
        <w:rPr>
          <w:b/>
        </w:rPr>
        <w:t>Proposed:</w:t>
      </w:r>
      <w:r>
        <w:t xml:space="preserve"> daily operational refresh for run/quality signals and daily or weekly product dashboards, subject to actual pipeline capability.</w:t>
      </w:r>
    </w:p>
    <w:p>
      <w:pPr>
        <w:pStyle w:val="ListBullet"/>
      </w:pPr>
      <w:r>
        <w:rPr>
          <w:b/>
        </w:rPr>
        <w:t>TBD:</w:t>
      </w:r>
      <w:r>
        <w:t xml:space="preserve"> numeric latency, freshness, event coverage, cost, quality, adoption and ROI targets; retention; minimum sample sizes; confidence intervals; role-specific dashboard grants.</w:t>
      </w:r>
    </w:p>
    <w:p>
      <w:pPr>
        <w:pStyle w:val="ListBullet"/>
      </w:pPr>
      <w:r>
        <w:t>Establish baseline with representative project types and complexity levels. Report sample count, median, p75/p90 and missingness. Use confidence intervals or bootstrap intervals where cohort sizes justify it.</w:t>
      </w:r>
    </w:p>
    <w:p>
      <w:pPr>
        <w:pStyle w:val="ListBullet"/>
      </w:pPr>
      <w:r>
        <w:t>Compare quality and speed together. Report rejection, substantial revision, continuity corrections and incomplete workflows alongside approval speed.</w:t>
      </w:r>
    </w:p>
    <w:p>
      <w:pPr>
        <w:pStyle w:val="ListBullet"/>
      </w:pPr>
      <w:r>
        <w:t>Segment by model/provider, prompt/config, workflow version and project type only where sample sizes and privacy policy permit.</w:t>
      </w:r>
    </w:p>
    <w:p>
      <w:pPr>
        <w:pStyle w:val="ListBullet"/>
      </w:pPr>
      <w:r>
        <w:t>A metric can be directionally useful without being causal evidence. Do not claim that Tattava caused time savings without a suitable comparison design.</w:t>
      </w:r>
    </w:p>
    <w:p>
      <w:pPr>
        <w:pStyle w:val="Heading1"/>
      </w:pPr>
      <w:r>
        <w:t>8. Instrumentation gaps and risks</w:t>
      </w:r>
    </w:p>
    <w:p>
      <w:pPr>
        <w:pStyle w:val="ListNumber"/>
      </w:pPr>
      <w:r>
        <w:t>Accepted-input and human-approved-package events need authoritative, versioned business definitions.</w:t>
      </w:r>
    </w:p>
    <w:p>
      <w:pPr>
        <w:pStyle w:val="ListNumber"/>
      </w:pPr>
      <w:r>
        <w:t>Package completeness criteria and template versioning must be explicit.</w:t>
      </w:r>
    </w:p>
    <w:p>
      <w:pPr>
        <w:pStyle w:val="ListNumber"/>
      </w:pPr>
      <w:r>
        <w:t>Work-time measurement method is unresolved; avoid invasive surveillance by default.</w:t>
      </w:r>
    </w:p>
    <w:p>
      <w:pPr>
        <w:pStyle w:val="ListNumber"/>
      </w:pPr>
      <w:r>
        <w:t>Creative quality requires human-reviewed rubrics and adjudication, not an uncalibrated model score.</w:t>
      </w:r>
    </w:p>
    <w:p>
      <w:pPr>
        <w:pStyle w:val="ListNumber"/>
      </w:pPr>
      <w:r>
        <w:t>Historical baseline data may not exist; mark as unavailable rather than fabricate it.</w:t>
      </w:r>
    </w:p>
    <w:p>
      <w:pPr>
        <w:pStyle w:val="ListNumber"/>
      </w:pPr>
      <w:r>
        <w:t>Cost attribution needs model/provider usage, currency, pricing version, tool charges and allocation policy.</w:t>
      </w:r>
    </w:p>
    <w:p>
      <w:pPr>
        <w:pStyle w:val="ListNumber"/>
      </w:pPr>
      <w:r>
        <w:t>Team throughput requires effective-dated team/project assignment.</w:t>
      </w:r>
    </w:p>
    <w:p>
      <w:pPr>
        <w:pStyle w:val="ListNumber"/>
      </w:pPr>
      <w:r>
        <w:t>Reuse is a reference signal, not proof that reused content was helpful or correct.</w:t>
      </w:r>
    </w:p>
    <w:p>
      <w:pPr>
        <w:pStyle w:val="ListNumber"/>
      </w:pPr>
      <w:r>
        <w:t>Critical security and Canon violations are hard gates; do not average them into general quality scores.</w:t>
      </w:r>
    </w:p>
    <w:p>
      <w:pPr>
        <w:pStyle w:val="Heading1"/>
      </w:pPr>
      <w:r>
        <w:t>9. Release and governance rules</w:t>
      </w:r>
    </w:p>
    <w:p>
      <w:r>
        <w:t xml:space="preserve">Metric definitions are version-controlled. Changes to formulas, eligibility, event names, grain, or denominator require a reviewed change proposal, impact analysis, backfill plan and dashboard annotation. Analytics owner signs off technical correctness; Product and domain owners sign off meaning. Security/Privacy approves any new content-level telemetry. Unrun checks remain </w:t>
      </w:r>
      <w:r>
        <w:rPr>
          <w:b/>
        </w:rPr>
        <w:t>Not Run</w:t>
      </w:r>
      <w:r>
        <w:t>; no baseline or target is presented as achieved without evidence.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KPI Tree  •  Version 1.0  •  Proposed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TATTAVA COPILOT  |  06_ANALYTICS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2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KPI Tree</dc:title>
  <dc:subject>Tattava Copilot 06_ANALYTICS</dc:subject>
  <dc:creator>Tattava Copilot Product / Data Specification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