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25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591" w:rsidRDefault="003F2591"/>
    <w:p w:rsidR="003F2591" w:rsidRDefault="003F2591">
      <w:r>
        <w:t>WSDL</w:t>
      </w:r>
    </w:p>
    <w:p w:rsidR="003F2591" w:rsidRDefault="003F2591"/>
    <w:p w:rsidR="003F2591" w:rsidRDefault="003F2591">
      <w:hyperlink r:id="rId5" w:history="1">
        <w:r>
          <w:rPr>
            <w:rStyle w:val="Hyperlink"/>
          </w:rPr>
          <w:t>http://www.dneonline.com/calculator.asmx?WSDL</w:t>
        </w:r>
      </w:hyperlink>
    </w:p>
    <w:p w:rsidR="00686B49" w:rsidRDefault="00686B49"/>
    <w:p w:rsidR="00686B49" w:rsidRDefault="00686B4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2591"/>
    <w:rsid w:val="003F2591"/>
    <w:rsid w:val="00686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F25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dneonline.com/calculator.asmx?WSD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2020-06-07T10:52:00Z</dcterms:created>
  <dcterms:modified xsi:type="dcterms:W3CDTF">2020-06-07T10:57:00Z</dcterms:modified>
</cp:coreProperties>
</file>