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Казначеев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Linux Rocky и ознакомиться с его возможностями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Установить OC и выполнить домашнее задание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назовем нашу виртуальную машину Rocky2 и выберем установочный диск (рис. 1).</w:t>
      </w:r>
    </w:p>
    <w:p>
      <w:pPr>
        <w:pStyle w:val="CaptionedFigure"/>
      </w:pPr>
      <w:r>
        <w:drawing>
          <wp:inline>
            <wp:extent cx="3733800" cy="2059155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p>
      <w:pPr>
        <w:pStyle w:val="BodyText"/>
      </w:pPr>
      <w:r>
        <w:t xml:space="preserve">Выделяем память и процессор (рис. 2).</w:t>
      </w:r>
    </w:p>
    <w:p>
      <w:pPr>
        <w:pStyle w:val="CaptionedFigure"/>
      </w:pPr>
      <w:r>
        <w:drawing>
          <wp:inline>
            <wp:extent cx="3733800" cy="1991022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p>
      <w:pPr>
        <w:pStyle w:val="BodyText"/>
      </w:pPr>
      <w:r>
        <w:t xml:space="preserve">Выделяем размер диска (40 гб) (рис. 3).</w:t>
      </w:r>
    </w:p>
    <w:p>
      <w:pPr>
        <w:pStyle w:val="CaptionedFigure"/>
      </w:pPr>
      <w:r>
        <w:drawing>
          <wp:inline>
            <wp:extent cx="3733800" cy="1985633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p>
      <w:pPr>
        <w:pStyle w:val="BodyText"/>
      </w:pPr>
      <w:r>
        <w:t xml:space="preserve">Далее выбираем язык,я выбрал русский язык (рис. 4).</w:t>
      </w:r>
    </w:p>
    <w:p>
      <w:pPr>
        <w:pStyle w:val="CaptionedFigure"/>
      </w:pPr>
      <w:r>
        <w:drawing>
          <wp:inline>
            <wp:extent cx="3733800" cy="2346279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p>
      <w:pPr>
        <w:pStyle w:val="BodyText"/>
      </w:pPr>
      <w:r>
        <w:t xml:space="preserve">Выбираем диск куда устанавится система (рис. 5).</w:t>
      </w:r>
    </w:p>
    <w:p>
      <w:pPr>
        <w:pStyle w:val="CaptionedFigure"/>
      </w:pPr>
      <w:r>
        <w:drawing>
          <wp:inline>
            <wp:extent cx="3733800" cy="2337323"/>
            <wp:effectExtent b="0" l="0" r="0" t="0"/>
            <wp:docPr descr="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p>
      <w:pPr>
        <w:pStyle w:val="BodyText"/>
      </w:pPr>
      <w:r>
        <w:t xml:space="preserve">Настроим сеть. В качестве имени узла выберем sikaznacheev.localdomain (рис. 6).</w:t>
      </w:r>
    </w:p>
    <w:p>
      <w:pPr>
        <w:pStyle w:val="CaptionedFigure"/>
      </w:pPr>
      <w:r>
        <w:drawing>
          <wp:inline>
            <wp:extent cx="3733800" cy="2336961"/>
            <wp:effectExtent b="0" l="0" r="0" t="0"/>
            <wp:docPr descr="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p>
      <w:pPr>
        <w:pStyle w:val="BodyText"/>
      </w:pPr>
      <w:r>
        <w:t xml:space="preserve">Настроим рут пользователя указав пароль для него и разрешив ему ssh (рис. 7).</w:t>
      </w:r>
    </w:p>
    <w:p>
      <w:pPr>
        <w:pStyle w:val="CaptionedFigure"/>
      </w:pPr>
      <w:r>
        <w:drawing>
          <wp:inline>
            <wp:extent cx="3733800" cy="2322857"/>
            <wp:effectExtent b="0" l="0" r="0" t="0"/>
            <wp:docPr descr="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p>
      <w:pPr>
        <w:pStyle w:val="BodyText"/>
      </w:pPr>
      <w:r>
        <w:t xml:space="preserve">Настром своего пользователя согласно об именовании (рис. 8).</w:t>
      </w:r>
    </w:p>
    <w:p>
      <w:pPr>
        <w:pStyle w:val="CaptionedFigure"/>
      </w:pPr>
      <w:r>
        <w:drawing>
          <wp:inline>
            <wp:extent cx="3733800" cy="2322925"/>
            <wp:effectExtent b="0" l="0" r="0" t="0"/>
            <wp:docPr descr="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p>
      <w:pPr>
        <w:pStyle w:val="BodyText"/>
      </w:pPr>
      <w:r>
        <w:t xml:space="preserve">Ждем завершения установки. По завершении перезагружаем (рис. 9).</w:t>
      </w:r>
    </w:p>
    <w:p>
      <w:pPr>
        <w:pStyle w:val="CaptionedFigure"/>
      </w:pPr>
      <w:r>
        <w:drawing>
          <wp:inline>
            <wp:extent cx="3733800" cy="2337323"/>
            <wp:effectExtent b="0" l="0" r="0" t="0"/>
            <wp:docPr descr="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p>
      <w:pPr>
        <w:pStyle w:val="BodyText"/>
      </w:pPr>
      <w:r>
        <w:t xml:space="preserve">После установки устанавливаем дополнение гостевой ОС вот так выглядит завершение установки (рис. 10).</w:t>
      </w:r>
    </w:p>
    <w:p>
      <w:pPr>
        <w:pStyle w:val="CaptionedFigure"/>
      </w:pPr>
      <w:r>
        <w:drawing>
          <wp:inline>
            <wp:extent cx="3733800" cy="2644532"/>
            <wp:effectExtent b="0" l="0" r="0" t="0"/>
            <wp:docPr descr="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</w:t>
      </w:r>
    </w:p>
    <w:p>
      <w:pPr>
        <w:pStyle w:val="BodyText"/>
      </w:pPr>
      <w:r>
        <w:t xml:space="preserve">Теперь выполняем домашнее задание находим версию ядра (рис. 11).</w:t>
      </w:r>
    </w:p>
    <w:p>
      <w:pPr>
        <w:pStyle w:val="CaptionedFigure"/>
      </w:pPr>
      <w:r>
        <w:drawing>
          <wp:inline>
            <wp:extent cx="3733800" cy="877045"/>
            <wp:effectExtent b="0" l="0" r="0" t="0"/>
            <wp:docPr descr="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(рис. 12).</w:t>
      </w:r>
    </w:p>
    <w:p>
      <w:pPr>
        <w:pStyle w:val="CaptionedFigure"/>
      </w:pPr>
      <w:r>
        <w:drawing>
          <wp:inline>
            <wp:extent cx="3733800" cy="155840"/>
            <wp:effectExtent b="0" l="0" r="0" t="0"/>
            <wp:docPr descr="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</w:t>
      </w:r>
    </w:p>
    <w:p>
      <w:pPr>
        <w:pStyle w:val="Compact"/>
        <w:numPr>
          <w:ilvl w:val="0"/>
          <w:numId w:val="1002"/>
        </w:numPr>
      </w:pPr>
      <w:r>
        <w:t xml:space="preserve">Модель процессора (рис. 13).</w:t>
      </w:r>
    </w:p>
    <w:p>
      <w:pPr>
        <w:pStyle w:val="CaptionedFigure"/>
      </w:pPr>
      <w:r>
        <w:drawing>
          <wp:inline>
            <wp:extent cx="3733800" cy="158176"/>
            <wp:effectExtent b="0" l="0" r="0" t="0"/>
            <wp:docPr descr="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</w:t>
      </w:r>
    </w:p>
    <w:p>
      <w:pPr>
        <w:pStyle w:val="Compact"/>
        <w:numPr>
          <w:ilvl w:val="0"/>
          <w:numId w:val="1003"/>
        </w:numPr>
      </w:pPr>
      <w:r>
        <w:t xml:space="preserve">Количество доступной памяти (рис. 14).</w:t>
      </w:r>
    </w:p>
    <w:p>
      <w:pPr>
        <w:pStyle w:val="CaptionedFigure"/>
      </w:pPr>
      <w:r>
        <w:drawing>
          <wp:inline>
            <wp:extent cx="3733800" cy="422634"/>
            <wp:effectExtent b="0" l="0" r="0" t="0"/>
            <wp:docPr descr="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</w:t>
      </w:r>
    </w:p>
    <w:p>
      <w:pPr>
        <w:pStyle w:val="Compact"/>
        <w:numPr>
          <w:ilvl w:val="0"/>
          <w:numId w:val="1004"/>
        </w:numPr>
      </w:pPr>
      <w:r>
        <w:t xml:space="preserve">Найти гипервизор (рис. 15).</w:t>
      </w:r>
    </w:p>
    <w:p>
      <w:pPr>
        <w:pStyle w:val="CaptionedFigure"/>
      </w:pPr>
      <w:r>
        <w:drawing>
          <wp:inline>
            <wp:extent cx="3733800" cy="204536"/>
            <wp:effectExtent b="0" l="0" r="0" t="0"/>
            <wp:docPr descr="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</w:t>
      </w:r>
    </w:p>
    <w:p>
      <w:pPr>
        <w:pStyle w:val="BodyText"/>
      </w:pPr>
      <w:r>
        <w:t xml:space="preserve">6)Найти порядок монтирования файловых систем вместе с их типами. Тип файловой системы вероятно xfs 5 версии (рис. 16).</w:t>
      </w:r>
    </w:p>
    <w:p>
      <w:pPr>
        <w:pStyle w:val="CaptionedFigure"/>
      </w:pPr>
      <w:r>
        <w:drawing>
          <wp:inline>
            <wp:extent cx="3733800" cy="215168"/>
            <wp:effectExtent b="0" l="0" r="0" t="0"/>
            <wp:docPr descr="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лаборатоной работы была установлена система Rocky.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лабораторной работе</dc:title>
  <dc:creator>Казначеев Сергей Ильич</dc:creator>
  <dc:language>ru-RU</dc:language>
  <cp:keywords/>
  <dcterms:created xsi:type="dcterms:W3CDTF">2025-09-03T16:02:29Z</dcterms:created>
  <dcterms:modified xsi:type="dcterms:W3CDTF">2025-09-03T16:02:29Z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