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</w:t>
      </w:r>
      <w:r>
        <w:t xml:space="preserve"> </w:t>
      </w:r>
      <w:r>
        <w:t xml:space="preserve">курс</w:t>
      </w:r>
    </w:p>
    <w:p>
      <w:pPr>
        <w:pStyle w:val="Subtitle"/>
      </w:pPr>
      <w:r>
        <w:t xml:space="preserve">Часть</w:t>
      </w:r>
      <w:r>
        <w:t xml:space="preserve"> </w:t>
      </w:r>
      <w:r>
        <w:t xml:space="preserve">3</w:t>
      </w:r>
    </w:p>
    <w:p>
      <w:pPr>
        <w:pStyle w:val="Author"/>
      </w:pPr>
      <w:r>
        <w:t xml:space="preserve">Казначеев</w:t>
      </w:r>
      <w:r>
        <w:t xml:space="preserve"> </w:t>
      </w:r>
      <w:r>
        <w:t xml:space="preserve">Сергей</w:t>
      </w:r>
      <w:r>
        <w:t xml:space="preserve"> </w:t>
      </w:r>
      <w:r>
        <w:t xml:space="preserve">Ильич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Прохождение третьей части внешнего курса</w:t>
      </w:r>
    </w:p>
    <w:bookmarkEnd w:id="20"/>
    <w:bookmarkStart w:id="69" w:name="выполнение-индивидуального-проекта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индивидуального проекта</w:t>
      </w:r>
    </w:p>
    <w:p>
      <w:pPr>
        <w:pStyle w:val="FirstParagraph"/>
      </w:pPr>
      <w:r>
        <w:t xml:space="preserve">Вопрос 1</w:t>
      </w:r>
    </w:p>
    <w:p>
      <w:pPr>
        <w:pStyle w:val="BodyText"/>
      </w:pPr>
      <w:r>
        <w:t xml:space="preserve">Ответ: в асимметричных криптографических примитивах обе стороны имеют пару ключей</w:t>
      </w:r>
    </w:p>
    <w:p>
      <w:pPr>
        <w:pStyle w:val="CaptionedFigure"/>
      </w:pPr>
      <w:r>
        <w:drawing>
          <wp:inline>
            <wp:extent cx="3733800" cy="2061949"/>
            <wp:effectExtent b="0" l="0" r="0" t="0"/>
            <wp:docPr descr="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1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1</w:t>
      </w:r>
    </w:p>
    <w:p>
      <w:pPr>
        <w:pStyle w:val="BodyText"/>
      </w:pPr>
      <w:r>
        <w:t xml:space="preserve">Вопрос 2</w:t>
      </w:r>
    </w:p>
    <w:p>
      <w:pPr>
        <w:pStyle w:val="BodyText"/>
      </w:pPr>
      <w:r>
        <w:t xml:space="preserve">Ответ: криптографическая хэш-функция стойкая к коллизиям, дает на выходе фиксированное число бит независимо от объема входных данных и эффективно вычисляется</w:t>
      </w:r>
    </w:p>
    <w:p>
      <w:pPr>
        <w:pStyle w:val="CaptionedFigure"/>
      </w:pPr>
      <w:r>
        <w:drawing>
          <wp:inline>
            <wp:extent cx="3733800" cy="1571940"/>
            <wp:effectExtent b="0" l="0" r="0" t="0"/>
            <wp:docPr descr="2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1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2</w:t>
      </w:r>
    </w:p>
    <w:p>
      <w:pPr>
        <w:pStyle w:val="BodyText"/>
      </w:pPr>
      <w:r>
        <w:t xml:space="preserve">Вопрос 3</w:t>
      </w:r>
    </w:p>
    <w:p>
      <w:pPr>
        <w:pStyle w:val="BodyText"/>
      </w:pPr>
      <w:r>
        <w:t xml:space="preserve">Ответ - к агоритмам цифровой подписи относятся RSA ECDSA и ГОСТ Р 34.10-2012</w:t>
      </w:r>
    </w:p>
    <w:p>
      <w:pPr>
        <w:pStyle w:val="CaptionedFigure"/>
      </w:pPr>
      <w:r>
        <w:drawing>
          <wp:inline>
            <wp:extent cx="3733800" cy="1695251"/>
            <wp:effectExtent b="0" l="0" r="0" t="0"/>
            <wp:docPr descr="3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5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3</w:t>
      </w:r>
    </w:p>
    <w:p>
      <w:pPr>
        <w:pStyle w:val="BodyText"/>
      </w:pPr>
      <w:r>
        <w:t xml:space="preserve">Вопрос 4</w:t>
      </w:r>
    </w:p>
    <w:p>
      <w:pPr>
        <w:pStyle w:val="BodyText"/>
      </w:pPr>
      <w:r>
        <w:t xml:space="preserve">Ответ - код аутентификации сообщения относится к симметричным примитивам</w:t>
      </w:r>
    </w:p>
    <w:p>
      <w:pPr>
        <w:pStyle w:val="CaptionedFigure"/>
      </w:pPr>
      <w:r>
        <w:drawing>
          <wp:inline>
            <wp:extent cx="3733800" cy="2336194"/>
            <wp:effectExtent b="0" l="0" r="0" t="0"/>
            <wp:docPr descr="4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6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4</w:t>
      </w:r>
    </w:p>
    <w:p>
      <w:pPr>
        <w:pStyle w:val="BodyText"/>
      </w:pPr>
      <w:r>
        <w:t xml:space="preserve">Вопрос 5</w:t>
      </w:r>
    </w:p>
    <w:p>
      <w:pPr>
        <w:pStyle w:val="BodyText"/>
      </w:pPr>
      <w:r>
        <w:t xml:space="preserve">Ответ - обмен ключами Диффи-Хэллмана - это асимметричный примитив генерации общего секретного ключа</w:t>
      </w:r>
    </w:p>
    <w:p>
      <w:pPr>
        <w:pStyle w:val="CaptionedFigure"/>
      </w:pPr>
      <w:r>
        <w:drawing>
          <wp:inline>
            <wp:extent cx="3733800" cy="2239098"/>
            <wp:effectExtent b="0" l="0" r="0" t="0"/>
            <wp:docPr descr="5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9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5</w:t>
      </w:r>
    </w:p>
    <w:p>
      <w:pPr>
        <w:pStyle w:val="BodyText"/>
      </w:pPr>
      <w:r>
        <w:t xml:space="preserve">Вопрос 6</w:t>
      </w:r>
    </w:p>
    <w:p>
      <w:pPr>
        <w:pStyle w:val="BodyText"/>
      </w:pPr>
      <w:r>
        <w:t xml:space="preserve">Ответ - протокол электронной цифровой подписи относится к протоколам с публичным ключом</w:t>
      </w:r>
    </w:p>
    <w:p>
      <w:pPr>
        <w:pStyle w:val="CaptionedFigure"/>
      </w:pPr>
      <w:r>
        <w:drawing>
          <wp:inline>
            <wp:extent cx="3733800" cy="2350388"/>
            <wp:effectExtent b="0" l="0" r="0" t="0"/>
            <wp:docPr descr="6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0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6</w:t>
      </w:r>
    </w:p>
    <w:p>
      <w:pPr>
        <w:pStyle w:val="BodyText"/>
      </w:pPr>
      <w:r>
        <w:t xml:space="preserve">Вопрос 7</w:t>
      </w:r>
    </w:p>
    <w:p>
      <w:pPr>
        <w:pStyle w:val="BodyText"/>
      </w:pPr>
      <w:r>
        <w:t xml:space="preserve">Ответ - алгоритм верификации электронной цифровой подписи требует на вход подпись, открытый ключ, сообщение</w:t>
      </w:r>
    </w:p>
    <w:p>
      <w:pPr>
        <w:pStyle w:val="CaptionedFigure"/>
      </w:pPr>
      <w:r>
        <w:drawing>
          <wp:inline>
            <wp:extent cx="3733800" cy="2330029"/>
            <wp:effectExtent b="0" l="0" r="0" t="0"/>
            <wp:docPr descr="7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0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7</w:t>
      </w:r>
    </w:p>
    <w:p>
      <w:pPr>
        <w:pStyle w:val="BodyText"/>
      </w:pPr>
      <w:r>
        <w:t xml:space="preserve">Вопрос 8</w:t>
      </w:r>
    </w:p>
    <w:p>
      <w:pPr>
        <w:pStyle w:val="BodyText"/>
      </w:pPr>
      <w:r>
        <w:t xml:space="preserve">Ответ - электронная цифровая подпись не обеспечивает конфиденциальность</w:t>
      </w:r>
    </w:p>
    <w:p>
      <w:pPr>
        <w:pStyle w:val="CaptionedFigure"/>
      </w:pPr>
      <w:r>
        <w:drawing>
          <wp:inline>
            <wp:extent cx="3733800" cy="3212227"/>
            <wp:effectExtent b="0" l="0" r="0" t="0"/>
            <wp:docPr descr="8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2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8</w:t>
      </w:r>
    </w:p>
    <w:p>
      <w:pPr>
        <w:pStyle w:val="BodyText"/>
      </w:pPr>
      <w:r>
        <w:t xml:space="preserve">Вопрос 9</w:t>
      </w:r>
    </w:p>
    <w:p>
      <w:pPr>
        <w:pStyle w:val="BodyText"/>
      </w:pPr>
      <w:r>
        <w:t xml:space="preserve">Ответ - усиленная квалифицированная электронная подпись понадобится для отправки налоговой отчетности в ФНС</w:t>
      </w:r>
    </w:p>
    <w:p>
      <w:pPr>
        <w:pStyle w:val="CaptionedFigure"/>
      </w:pPr>
      <w:r>
        <w:drawing>
          <wp:inline>
            <wp:extent cx="3733800" cy="1607294"/>
            <wp:effectExtent b="0" l="0" r="0" t="0"/>
            <wp:docPr descr="9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7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9</w:t>
      </w:r>
    </w:p>
    <w:p>
      <w:pPr>
        <w:pStyle w:val="BodyText"/>
      </w:pPr>
      <w:r>
        <w:t xml:space="preserve">Вопрос 10</w:t>
      </w:r>
    </w:p>
    <w:p>
      <w:pPr>
        <w:pStyle w:val="BodyText"/>
      </w:pPr>
      <w:r>
        <w:t xml:space="preserve">Ответ - в удостоверяющем центре можно получить квалифицированный сертификат ключа проверки электронной подписи</w:t>
      </w:r>
    </w:p>
    <w:p>
      <w:pPr>
        <w:pStyle w:val="CaptionedFigure"/>
      </w:pPr>
      <w:r>
        <w:drawing>
          <wp:inline>
            <wp:extent cx="3733800" cy="1601946"/>
            <wp:effectExtent b="0" l="0" r="0" t="0"/>
            <wp:docPr descr="10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1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10</w:t>
      </w:r>
    </w:p>
    <w:p>
      <w:pPr>
        <w:pStyle w:val="BodyText"/>
      </w:pPr>
      <w:r>
        <w:t xml:space="preserve">Вопрос 11</w:t>
      </w:r>
    </w:p>
    <w:p>
      <w:pPr>
        <w:pStyle w:val="BodyText"/>
      </w:pPr>
      <w:r>
        <w:t xml:space="preserve">Ответ - главные платежные системы МИР и MasterCard</w:t>
      </w:r>
    </w:p>
    <w:p>
      <w:pPr>
        <w:pStyle w:val="CaptionedFigure"/>
      </w:pPr>
      <w:r>
        <w:drawing>
          <wp:inline>
            <wp:extent cx="3733800" cy="1843895"/>
            <wp:effectExtent b="0" l="0" r="0" t="0"/>
            <wp:docPr descr="11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3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11</w:t>
      </w:r>
    </w:p>
    <w:p>
      <w:pPr>
        <w:pStyle w:val="BodyText"/>
      </w:pPr>
      <w:r>
        <w:t xml:space="preserve">Вопрос 12</w:t>
      </w:r>
    </w:p>
    <w:p>
      <w:pPr>
        <w:pStyle w:val="BodyText"/>
      </w:pPr>
      <w:r>
        <w:t xml:space="preserve">Ответ - главным примером многофакторной аунтефикации является комбинация проверка пароля + код в sms сообщении и комбинация код в sms сообщении + отпечаток пальца</w:t>
      </w:r>
    </w:p>
    <w:p>
      <w:pPr>
        <w:pStyle w:val="CaptionedFigure"/>
      </w:pPr>
      <w:r>
        <w:drawing>
          <wp:inline>
            <wp:extent cx="3733800" cy="1626465"/>
            <wp:effectExtent b="0" l="0" r="0" t="0"/>
            <wp:docPr descr="12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6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12</w:t>
      </w:r>
    </w:p>
    <w:p>
      <w:pPr>
        <w:pStyle w:val="BodyText"/>
      </w:pPr>
      <w:r>
        <w:t xml:space="preserve">Вопрос 13</w:t>
      </w:r>
    </w:p>
    <w:p>
      <w:pPr>
        <w:pStyle w:val="BodyText"/>
      </w:pPr>
      <w:r>
        <w:t xml:space="preserve">Ответ - при онлайн платежах сегодня используется многофакторная аутентификация покупателя пережд банком - эмитентом</w:t>
      </w:r>
    </w:p>
    <w:p>
      <w:pPr>
        <w:pStyle w:val="CaptionedFigure"/>
      </w:pPr>
      <w:r>
        <w:drawing>
          <wp:inline>
            <wp:extent cx="3733800" cy="1488349"/>
            <wp:effectExtent b="0" l="0" r="0" t="0"/>
            <wp:docPr descr="13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13</w:t>
      </w:r>
    </w:p>
    <w:p>
      <w:pPr>
        <w:pStyle w:val="BodyText"/>
      </w:pPr>
      <w:r>
        <w:t xml:space="preserve">Вопрос 14</w:t>
      </w:r>
    </w:p>
    <w:p>
      <w:pPr>
        <w:pStyle w:val="BodyText"/>
      </w:pPr>
      <w:r>
        <w:t xml:space="preserve">Ответ - главным свойством криптографической хэш-функции используется в доказательстве работы сложность нахождения прообраза</w:t>
      </w:r>
    </w:p>
    <w:p>
      <w:pPr>
        <w:pStyle w:val="CaptionedFigure"/>
      </w:pPr>
      <w:r>
        <w:drawing>
          <wp:inline>
            <wp:extent cx="3733800" cy="1590322"/>
            <wp:effectExtent b="0" l="0" r="0" t="0"/>
            <wp:docPr descr="14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0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14</w:t>
      </w:r>
    </w:p>
    <w:p>
      <w:pPr>
        <w:pStyle w:val="BodyText"/>
      </w:pPr>
      <w:r>
        <w:t xml:space="preserve">Вопрос 15</w:t>
      </w:r>
    </w:p>
    <w:p>
      <w:pPr>
        <w:pStyle w:val="BodyText"/>
      </w:pPr>
      <w:r>
        <w:t xml:space="preserve">Ответ - консенсус в некоторых системах блокчейна обладает свойствами постоянства, открытость, консенсус и живучесть</w:t>
      </w:r>
    </w:p>
    <w:p>
      <w:pPr>
        <w:pStyle w:val="CaptionedFigure"/>
      </w:pPr>
      <w:r>
        <w:drawing>
          <wp:inline>
            <wp:extent cx="3733800" cy="1647368"/>
            <wp:effectExtent b="0" l="0" r="0" t="0"/>
            <wp:docPr descr="15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7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15</w:t>
      </w:r>
    </w:p>
    <w:p>
      <w:pPr>
        <w:pStyle w:val="BodyText"/>
      </w:pPr>
      <w:r>
        <w:t xml:space="preserve">Вопрос 16</w:t>
      </w:r>
    </w:p>
    <w:p>
      <w:pPr>
        <w:pStyle w:val="BodyText"/>
      </w:pPr>
      <w:r>
        <w:t xml:space="preserve">Ответ - цифровая подпись</w:t>
      </w:r>
    </w:p>
    <w:p>
      <w:pPr>
        <w:pStyle w:val="CaptionedFigure"/>
      </w:pPr>
      <w:r>
        <w:drawing>
          <wp:inline>
            <wp:extent cx="3733800" cy="1927278"/>
            <wp:effectExtent b="0" l="0" r="0" t="0"/>
            <wp:docPr descr="16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7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16</w:t>
      </w:r>
    </w:p>
    <w:bookmarkEnd w:id="69"/>
    <w:bookmarkStart w:id="70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внешнего курса, я прошел третью часть курса и освоил криптографию на практике</w:t>
      </w:r>
    </w:p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</dc:title>
  <dc:creator>Казначеев Сергей Ильич</dc:creator>
  <dc:language>ru-RU</dc:language>
  <cp:keywords/>
  <dcterms:created xsi:type="dcterms:W3CDTF">2026-05-08T12:01:56Z</dcterms:created>
  <dcterms:modified xsi:type="dcterms:W3CDTF">2026-05-08T12:01:56Z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Часть 3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