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Прохождение второй части внешнего курса</w:t>
      </w:r>
    </w:p>
    <w:bookmarkEnd w:id="20"/>
    <w:bookmarkStart w:id="6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Вопрос 1</w:t>
      </w:r>
    </w:p>
    <w:p>
      <w:pPr>
        <w:pStyle w:val="BodyText"/>
      </w:pPr>
      <w:r>
        <w:t xml:space="preserve">Ответ: Да можно зашиврофать загрузочный сектор диска</w:t>
      </w:r>
    </w:p>
    <w:p>
      <w:pPr>
        <w:pStyle w:val="CaptionedFigure"/>
      </w:pPr>
      <w:r>
        <w:drawing>
          <wp:inline>
            <wp:extent cx="3733800" cy="2272747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Вопрос 2</w:t>
      </w:r>
    </w:p>
    <w:p>
      <w:pPr>
        <w:pStyle w:val="BodyText"/>
      </w:pPr>
      <w:r>
        <w:t xml:space="preserve">Ответ: шифрование диска основано на симметричном шифровании</w:t>
      </w:r>
    </w:p>
    <w:p>
      <w:pPr>
        <w:pStyle w:val="CaptionedFigure"/>
      </w:pPr>
      <w:r>
        <w:drawing>
          <wp:inline>
            <wp:extent cx="3733800" cy="2779352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Вопрос 3</w:t>
      </w:r>
    </w:p>
    <w:p>
      <w:pPr>
        <w:pStyle w:val="BodyText"/>
      </w:pPr>
      <w:r>
        <w:t xml:space="preserve">Ответ - с помощью VeraCrypt и BitLocker можно зашифровать жесткий диск</w:t>
      </w:r>
    </w:p>
    <w:p>
      <w:pPr>
        <w:pStyle w:val="CaptionedFigure"/>
      </w:pPr>
      <w:r>
        <w:drawing>
          <wp:inline>
            <wp:extent cx="3733800" cy="3149148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Вопрос 4</w:t>
      </w:r>
    </w:p>
    <w:p>
      <w:pPr>
        <w:pStyle w:val="BodyText"/>
      </w:pPr>
      <w:r>
        <w:t xml:space="preserve">Ответ - к стойким паролям можно отнести пароли в которых используются спец символы, числа, буквы верхнего и нижнего регистра</w:t>
      </w:r>
    </w:p>
    <w:p>
      <w:pPr>
        <w:pStyle w:val="CaptionedFigure"/>
      </w:pPr>
      <w:r>
        <w:drawing>
          <wp:inline>
            <wp:extent cx="3733800" cy="3145491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Вопрос 5</w:t>
      </w:r>
    </w:p>
    <w:p>
      <w:pPr>
        <w:pStyle w:val="BodyText"/>
      </w:pPr>
      <w:r>
        <w:t xml:space="preserve">Ответ - безопасное место для хранения паролей это менеджер паролей</w:t>
      </w:r>
    </w:p>
    <w:p>
      <w:pPr>
        <w:pStyle w:val="CaptionedFigure"/>
      </w:pPr>
      <w:r>
        <w:drawing>
          <wp:inline>
            <wp:extent cx="3733800" cy="2741601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Вопрос 6</w:t>
      </w:r>
    </w:p>
    <w:p>
      <w:pPr>
        <w:pStyle w:val="BodyText"/>
      </w:pPr>
      <w:r>
        <w:t xml:space="preserve">Ответ - капча нужна для защиты от автоматизированных атак, направленных на получение несанкционированного доступа</w:t>
      </w:r>
    </w:p>
    <w:p>
      <w:pPr>
        <w:pStyle w:val="CaptionedFigure"/>
      </w:pPr>
      <w:r>
        <w:drawing>
          <wp:inline>
            <wp:extent cx="3733800" cy="1389567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Вопрос 7</w:t>
      </w:r>
    </w:p>
    <w:p>
      <w:pPr>
        <w:pStyle w:val="BodyText"/>
      </w:pPr>
      <w:r>
        <w:t xml:space="preserve">Ответ - хеширование паролей применяется для того, чтобы не хранить пароли на сервевре в открытом виде</w:t>
      </w:r>
    </w:p>
    <w:p>
      <w:pPr>
        <w:pStyle w:val="CaptionedFigure"/>
      </w:pPr>
      <w:r>
        <w:drawing>
          <wp:inline>
            <wp:extent cx="3733800" cy="1839173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Вопрос 8</w:t>
      </w:r>
    </w:p>
    <w:p>
      <w:pPr>
        <w:pStyle w:val="BodyText"/>
      </w:pPr>
      <w:r>
        <w:t xml:space="preserve">Ответ - нет соль не поможет для улучшения стойкости паролей к атаке перебором</w:t>
      </w:r>
    </w:p>
    <w:p>
      <w:pPr>
        <w:pStyle w:val="CaptionedFigure"/>
      </w:pPr>
      <w:r>
        <w:drawing>
          <wp:inline>
            <wp:extent cx="3733800" cy="1281354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Вопрос 9</w:t>
      </w:r>
    </w:p>
    <w:p>
      <w:pPr>
        <w:pStyle w:val="BodyText"/>
      </w:pPr>
      <w:r>
        <w:t xml:space="preserve">Ответ - главные меры защиты от утечек данных атакой перебором являются: разные пароли на всех сайтах, периодическая смена паролей, сложные и длинные пароли, капча</w:t>
      </w:r>
    </w:p>
    <w:p>
      <w:pPr>
        <w:pStyle w:val="CaptionedFigure"/>
      </w:pPr>
      <w:r>
        <w:drawing>
          <wp:inline>
            <wp:extent cx="3733800" cy="1634203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Вопрос 10</w:t>
      </w:r>
    </w:p>
    <w:p>
      <w:pPr>
        <w:pStyle w:val="BodyText"/>
      </w:pPr>
      <w:r>
        <w:t xml:space="preserve">Ответ - две ссылки являются вишинговыми это ссылка на сбербанк онлайн и вход в аккаунт яндекс</w:t>
      </w:r>
    </w:p>
    <w:p>
      <w:pPr>
        <w:pStyle w:val="CaptionedFigure"/>
      </w:pPr>
      <w:r>
        <w:drawing>
          <wp:inline>
            <wp:extent cx="3733800" cy="1684151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Вопрос 11</w:t>
      </w:r>
    </w:p>
    <w:p>
      <w:pPr>
        <w:pStyle w:val="BodyText"/>
      </w:pPr>
      <w:r>
        <w:t xml:space="preserve">Ответ - да фишинговый имейл может прийти от знакомого адреса</w:t>
      </w:r>
    </w:p>
    <w:p>
      <w:pPr>
        <w:pStyle w:val="CaptionedFigure"/>
      </w:pPr>
      <w:r>
        <w:drawing>
          <wp:inline>
            <wp:extent cx="3733800" cy="1904762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Вопрос 12</w:t>
      </w:r>
    </w:p>
    <w:p>
      <w:pPr>
        <w:pStyle w:val="BodyText"/>
      </w:pPr>
      <w:r>
        <w:t xml:space="preserve">Ответ - Email спуфинг - это подмена адреса отправителя в имейлах</w:t>
      </w:r>
    </w:p>
    <w:p>
      <w:pPr>
        <w:pStyle w:val="CaptionedFigure"/>
      </w:pPr>
      <w:r>
        <w:drawing>
          <wp:inline>
            <wp:extent cx="3733800" cy="2982664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Вопрос 13</w:t>
      </w:r>
    </w:p>
    <w:p>
      <w:pPr>
        <w:pStyle w:val="BodyText"/>
      </w:pPr>
      <w:r>
        <w:t xml:space="preserve">Ответ - Вирус-троян маскирует под легитимную программу</w:t>
      </w:r>
    </w:p>
    <w:p>
      <w:pPr>
        <w:pStyle w:val="CaptionedFigure"/>
      </w:pPr>
      <w:r>
        <w:drawing>
          <wp:inline>
            <wp:extent cx="3733800" cy="2289541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Вопрос 14</w:t>
      </w:r>
    </w:p>
    <w:p>
      <w:pPr>
        <w:pStyle w:val="BodyText"/>
      </w:pPr>
      <w:r>
        <w:t xml:space="preserve">Ответ - ключ шифрования в протоколе мессенджеров Signal формируется при генерации первого сообщения стороной- отправителем</w:t>
      </w:r>
    </w:p>
    <w:p>
      <w:pPr>
        <w:pStyle w:val="CaptionedFigure"/>
      </w:pPr>
      <w:r>
        <w:drawing>
          <wp:inline>
            <wp:extent cx="3733800" cy="2150582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Вопрос 15</w:t>
      </w:r>
    </w:p>
    <w:p>
      <w:pPr>
        <w:pStyle w:val="BodyText"/>
      </w:pPr>
      <w:r>
        <w:t xml:space="preserve">Ответ - главной сутью сквозного шифрования состоит в том, что сообщения передаются по узлам связи(серверами) в зашифрованном виде</w:t>
      </w:r>
    </w:p>
    <w:p>
      <w:pPr>
        <w:pStyle w:val="CaptionedFigure"/>
      </w:pPr>
      <w:r>
        <w:drawing>
          <wp:inline>
            <wp:extent cx="3733800" cy="2085594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внешнего курса, я прошел вторую часть курса и освоил базовые знания защита Пк/Телефонов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Казначеев Сергей Ильич</dc:creator>
  <dc:language>ru-RU</dc:language>
  <cp:keywords/>
  <dcterms:created xsi:type="dcterms:W3CDTF">2026-05-08T10:39:26Z</dcterms:created>
  <dcterms:modified xsi:type="dcterms:W3CDTF">2026-05-08T10:39:26Z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