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D555C" w14:textId="357EE619" w:rsidR="000A1F92" w:rsidRDefault="000A1F92" w:rsidP="000A1F92">
      <w:pPr>
        <w:pStyle w:val="Heading1"/>
        <w:jc w:val="center"/>
        <w:rPr>
          <w:b/>
          <w:bCs/>
          <w:u w:val="single"/>
        </w:rPr>
      </w:pPr>
      <w:bookmarkStart w:id="0" w:name="_Toc164635647"/>
      <w:r w:rsidRPr="000A1F92">
        <w:rPr>
          <w:b/>
          <w:bCs/>
          <w:u w:val="single"/>
        </w:rPr>
        <w:t>Supermarket Sales Analysis</w:t>
      </w:r>
    </w:p>
    <w:p w14:paraId="4F69F4FD" w14:textId="77777777" w:rsidR="000A1F92" w:rsidRPr="000A1F92" w:rsidRDefault="000A1F92" w:rsidP="000A1F92"/>
    <w:p w14:paraId="5A29971C" w14:textId="1C862659" w:rsidR="00714413" w:rsidRPr="000A1F92" w:rsidRDefault="00714413" w:rsidP="000A1F92">
      <w:pPr>
        <w:rPr>
          <w:b/>
          <w:bCs/>
          <w:noProof/>
          <w:color w:val="215E99" w:themeColor="text2" w:themeTint="BF"/>
          <w:sz w:val="28"/>
          <w:szCs w:val="28"/>
        </w:rPr>
      </w:pPr>
      <w:r w:rsidRPr="000A1F92">
        <w:rPr>
          <w:b/>
          <w:bCs/>
          <w:color w:val="215E99" w:themeColor="text2" w:themeTint="BF"/>
          <w:sz w:val="28"/>
          <w:szCs w:val="28"/>
          <w:lang w:eastAsia="en-IN"/>
        </w:rPr>
        <w:t>Introduction</w:t>
      </w:r>
      <w:bookmarkEnd w:id="0"/>
    </w:p>
    <w:p w14:paraId="36CB0A24" w14:textId="62E694B9" w:rsidR="00573006" w:rsidRPr="00573006" w:rsidRDefault="00573006" w:rsidP="00BA4D80">
      <w:pPr>
        <w:spacing w:line="276" w:lineRule="auto"/>
        <w:jc w:val="both"/>
      </w:pPr>
      <w:r w:rsidRPr="00573006">
        <w:t>This report presents an analysis of transaction data from a supermarket chain collected over three consecutive years: 2013, 2014, and 2015. The dataset encompasses daily transaction records from each trading day, excluding public holidays when the supermarket was closed. Each entry in the dataset corresponds to an individual sale transaction and includes detailed information of that transaction.</w:t>
      </w:r>
    </w:p>
    <w:p w14:paraId="7C4C7E4C" w14:textId="18244B99" w:rsidR="00573006" w:rsidRDefault="00573006" w:rsidP="00BA4D80">
      <w:pPr>
        <w:spacing w:line="276" w:lineRule="auto"/>
        <w:jc w:val="both"/>
      </w:pPr>
      <w:r w:rsidRPr="00573006">
        <w:t>The datasets for each of the three years (2013, 2014, 2015) contain similar variables, structured around supermarket sales transactions. Here's an overview based on the rows from each dataset and their structure</w:t>
      </w:r>
      <w:r w:rsidR="00892FAA">
        <w:t>.</w:t>
      </w:r>
    </w:p>
    <w:p w14:paraId="78DC539D" w14:textId="77777777" w:rsidR="00573006" w:rsidRPr="00573006" w:rsidRDefault="00573006" w:rsidP="00BA4D80">
      <w:pPr>
        <w:spacing w:line="276" w:lineRule="auto"/>
        <w:jc w:val="both"/>
      </w:pPr>
    </w:p>
    <w:p w14:paraId="1D961535" w14:textId="23DEC3FB" w:rsidR="00573006" w:rsidRPr="00BA4D80" w:rsidRDefault="00573006" w:rsidP="00BA4D80">
      <w:pPr>
        <w:pStyle w:val="Heading3"/>
        <w:spacing w:line="276" w:lineRule="auto"/>
        <w:rPr>
          <w:b/>
          <w:bCs/>
        </w:rPr>
      </w:pPr>
      <w:bookmarkStart w:id="1" w:name="_Toc164635648"/>
      <w:r w:rsidRPr="00BA4D80">
        <w:rPr>
          <w:b/>
          <w:bCs/>
        </w:rPr>
        <w:t>Variables Across Datasets</w:t>
      </w:r>
      <w:bookmarkEnd w:id="1"/>
    </w:p>
    <w:p w14:paraId="21B865CD" w14:textId="77777777" w:rsidR="00573006" w:rsidRPr="00573006" w:rsidRDefault="00573006" w:rsidP="00BA4D80">
      <w:pPr>
        <w:spacing w:line="276" w:lineRule="auto"/>
        <w:jc w:val="both"/>
      </w:pPr>
      <w:proofErr w:type="spellStart"/>
      <w:r w:rsidRPr="00573006">
        <w:t>Sale_Date</w:t>
      </w:r>
      <w:proofErr w:type="spellEnd"/>
      <w:r w:rsidRPr="00573006">
        <w:t xml:space="preserve"> and </w:t>
      </w:r>
      <w:proofErr w:type="spellStart"/>
      <w:r w:rsidRPr="00573006">
        <w:t>Sale_Time</w:t>
      </w:r>
      <w:proofErr w:type="spellEnd"/>
      <w:r w:rsidRPr="00573006">
        <w:t>: The date and time of each transaction.</w:t>
      </w:r>
    </w:p>
    <w:p w14:paraId="3A263141" w14:textId="77777777" w:rsidR="00573006" w:rsidRPr="00573006" w:rsidRDefault="00573006" w:rsidP="00BA4D80">
      <w:pPr>
        <w:spacing w:line="276" w:lineRule="auto"/>
        <w:jc w:val="both"/>
      </w:pPr>
      <w:r w:rsidRPr="00573006">
        <w:t>UniSA_Receipt_No1: A unique identifier for the receipt.</w:t>
      </w:r>
    </w:p>
    <w:p w14:paraId="663C64E6" w14:textId="77777777" w:rsidR="00573006" w:rsidRPr="00573006" w:rsidRDefault="00573006" w:rsidP="00BA4D80">
      <w:pPr>
        <w:spacing w:line="276" w:lineRule="auto"/>
        <w:jc w:val="both"/>
      </w:pPr>
      <w:proofErr w:type="spellStart"/>
      <w:r w:rsidRPr="00573006">
        <w:t>Receipt_Line_No</w:t>
      </w:r>
      <w:proofErr w:type="spellEnd"/>
      <w:r w:rsidRPr="00573006">
        <w:t>: The line number on the receipt.</w:t>
      </w:r>
    </w:p>
    <w:p w14:paraId="35F7C70A" w14:textId="77777777" w:rsidR="00573006" w:rsidRPr="00573006" w:rsidRDefault="00573006" w:rsidP="00BA4D80">
      <w:pPr>
        <w:spacing w:line="276" w:lineRule="auto"/>
        <w:jc w:val="both"/>
      </w:pPr>
      <w:proofErr w:type="spellStart"/>
      <w:r w:rsidRPr="00573006">
        <w:t>UniSA_Customer_No</w:t>
      </w:r>
      <w:proofErr w:type="spellEnd"/>
      <w:r w:rsidRPr="00573006">
        <w:t>: A unique identifier for the customer (has some missing values).</w:t>
      </w:r>
    </w:p>
    <w:p w14:paraId="7D9B8B4B" w14:textId="77777777" w:rsidR="00573006" w:rsidRPr="00573006" w:rsidRDefault="00573006" w:rsidP="00BA4D80">
      <w:pPr>
        <w:spacing w:line="276" w:lineRule="auto"/>
        <w:jc w:val="both"/>
      </w:pPr>
      <w:proofErr w:type="spellStart"/>
      <w:r w:rsidRPr="00573006">
        <w:t>Total_Sale_Amount_InclusiveGST</w:t>
      </w:r>
      <w:proofErr w:type="spellEnd"/>
      <w:r w:rsidRPr="00573006">
        <w:t>: The total sale amount for the transaction including GST.</w:t>
      </w:r>
    </w:p>
    <w:p w14:paraId="533BB315" w14:textId="77777777" w:rsidR="00573006" w:rsidRPr="00573006" w:rsidRDefault="00573006" w:rsidP="00BA4D80">
      <w:pPr>
        <w:spacing w:line="276" w:lineRule="auto"/>
        <w:jc w:val="both"/>
      </w:pPr>
      <w:proofErr w:type="spellStart"/>
      <w:r w:rsidRPr="00573006">
        <w:t>Total_Receipt_Lines</w:t>
      </w:r>
      <w:proofErr w:type="spellEnd"/>
      <w:r w:rsidRPr="00573006">
        <w:t>: The total number of items in the transaction.</w:t>
      </w:r>
    </w:p>
    <w:p w14:paraId="345209C4" w14:textId="77777777" w:rsidR="00573006" w:rsidRPr="00573006" w:rsidRDefault="00573006" w:rsidP="00BA4D80">
      <w:pPr>
        <w:spacing w:line="276" w:lineRule="auto"/>
        <w:jc w:val="both"/>
      </w:pPr>
      <w:proofErr w:type="spellStart"/>
      <w:r w:rsidRPr="00573006">
        <w:t>Barcode_Item</w:t>
      </w:r>
      <w:proofErr w:type="spellEnd"/>
      <w:r w:rsidRPr="00573006">
        <w:t>: The barcode of the item sold (has some missing values).</w:t>
      </w:r>
    </w:p>
    <w:p w14:paraId="4A4D7593" w14:textId="77777777" w:rsidR="00573006" w:rsidRPr="00573006" w:rsidRDefault="00573006" w:rsidP="00BA4D80">
      <w:pPr>
        <w:spacing w:line="276" w:lineRule="auto"/>
        <w:jc w:val="both"/>
      </w:pPr>
      <w:proofErr w:type="spellStart"/>
      <w:r w:rsidRPr="00573006">
        <w:t>Item_Description</w:t>
      </w:r>
      <w:proofErr w:type="spellEnd"/>
      <w:r w:rsidRPr="00573006">
        <w:t>: Description of the item.</w:t>
      </w:r>
    </w:p>
    <w:p w14:paraId="18A46C49" w14:textId="77777777" w:rsidR="00573006" w:rsidRPr="00573006" w:rsidRDefault="00573006" w:rsidP="00BA4D80">
      <w:pPr>
        <w:spacing w:line="276" w:lineRule="auto"/>
        <w:jc w:val="both"/>
      </w:pPr>
      <w:proofErr w:type="spellStart"/>
      <w:r w:rsidRPr="00573006">
        <w:t>Quantity_Sold</w:t>
      </w:r>
      <w:proofErr w:type="spellEnd"/>
      <w:r w:rsidRPr="00573006">
        <w:t>: Quantity of the item sold.</w:t>
      </w:r>
    </w:p>
    <w:p w14:paraId="76DAE4DD" w14:textId="77777777" w:rsidR="00573006" w:rsidRPr="00573006" w:rsidRDefault="00573006" w:rsidP="00BA4D80">
      <w:pPr>
        <w:spacing w:line="276" w:lineRule="auto"/>
        <w:jc w:val="both"/>
      </w:pPr>
      <w:proofErr w:type="spellStart"/>
      <w:r w:rsidRPr="00573006">
        <w:t>Item_Value</w:t>
      </w:r>
      <w:proofErr w:type="spellEnd"/>
      <w:r w:rsidRPr="00573006">
        <w:t>: Value of the item.</w:t>
      </w:r>
    </w:p>
    <w:p w14:paraId="468AE2E7" w14:textId="77777777" w:rsidR="00573006" w:rsidRPr="00573006" w:rsidRDefault="00573006" w:rsidP="00BA4D80">
      <w:pPr>
        <w:spacing w:line="276" w:lineRule="auto"/>
        <w:jc w:val="both"/>
      </w:pPr>
      <w:proofErr w:type="spellStart"/>
      <w:r w:rsidRPr="00573006">
        <w:t>Department_Name</w:t>
      </w:r>
      <w:proofErr w:type="spellEnd"/>
      <w:r w:rsidRPr="00573006">
        <w:t>: The department of the item (has some missing values).</w:t>
      </w:r>
    </w:p>
    <w:p w14:paraId="592F920E" w14:textId="77777777" w:rsidR="00573006" w:rsidRPr="00573006" w:rsidRDefault="00573006" w:rsidP="00BA4D80">
      <w:pPr>
        <w:spacing w:line="276" w:lineRule="auto"/>
        <w:jc w:val="both"/>
      </w:pPr>
      <w:proofErr w:type="spellStart"/>
      <w:r w:rsidRPr="00573006">
        <w:t>Commodity_Name</w:t>
      </w:r>
      <w:proofErr w:type="spellEnd"/>
      <w:r w:rsidRPr="00573006">
        <w:t>: The commodity or type of the item (has some missing values).</w:t>
      </w:r>
    </w:p>
    <w:p w14:paraId="110310A2" w14:textId="77777777" w:rsidR="00573006" w:rsidRPr="00573006" w:rsidRDefault="00573006" w:rsidP="00BA4D80">
      <w:pPr>
        <w:spacing w:line="276" w:lineRule="auto"/>
        <w:jc w:val="both"/>
      </w:pPr>
      <w:r w:rsidRPr="00573006">
        <w:t>Offer: Information on whether the sale was part of a special offer.</w:t>
      </w:r>
    </w:p>
    <w:p w14:paraId="4E286ACE" w14:textId="77777777" w:rsidR="00573006" w:rsidRPr="00892FAA" w:rsidRDefault="00573006" w:rsidP="00BA4D80">
      <w:pPr>
        <w:spacing w:line="276" w:lineRule="auto"/>
      </w:pPr>
    </w:p>
    <w:p w14:paraId="5F6F1325" w14:textId="77777777" w:rsidR="00892FAA" w:rsidRPr="00892FAA" w:rsidRDefault="00892FAA" w:rsidP="00BA4D80">
      <w:pPr>
        <w:spacing w:line="276" w:lineRule="auto"/>
        <w:rPr>
          <w:lang w:eastAsia="en-IN"/>
        </w:rPr>
      </w:pPr>
      <w:r w:rsidRPr="00892FAA">
        <w:rPr>
          <w:lang w:eastAsia="en-IN"/>
        </w:rPr>
        <w:t>Each year's dataset follows a similar format with 14 columns.</w:t>
      </w:r>
    </w:p>
    <w:p w14:paraId="433E501A" w14:textId="77777777" w:rsidR="00892FAA" w:rsidRPr="00892FAA" w:rsidRDefault="00892FAA" w:rsidP="00BA4D80">
      <w:pPr>
        <w:spacing w:line="276" w:lineRule="auto"/>
        <w:rPr>
          <w:lang w:eastAsia="en-IN"/>
        </w:rPr>
      </w:pPr>
      <w:r w:rsidRPr="00892FAA">
        <w:rPr>
          <w:lang w:eastAsia="en-IN"/>
        </w:rPr>
        <w:t xml:space="preserve">There are some missing values in </w:t>
      </w:r>
      <w:proofErr w:type="spellStart"/>
      <w:r w:rsidRPr="00892FAA">
        <w:rPr>
          <w:lang w:eastAsia="en-IN"/>
        </w:rPr>
        <w:t>UniSA_Customer_No</w:t>
      </w:r>
      <w:proofErr w:type="spellEnd"/>
      <w:r w:rsidRPr="00892FAA">
        <w:rPr>
          <w:lang w:eastAsia="en-IN"/>
        </w:rPr>
        <w:t xml:space="preserve">, </w:t>
      </w:r>
      <w:proofErr w:type="spellStart"/>
      <w:r w:rsidRPr="00892FAA">
        <w:rPr>
          <w:lang w:eastAsia="en-IN"/>
        </w:rPr>
        <w:t>Barcode_Item</w:t>
      </w:r>
      <w:proofErr w:type="spellEnd"/>
      <w:r w:rsidRPr="00892FAA">
        <w:rPr>
          <w:lang w:eastAsia="en-IN"/>
        </w:rPr>
        <w:t xml:space="preserve">, </w:t>
      </w:r>
      <w:proofErr w:type="spellStart"/>
      <w:r w:rsidRPr="00892FAA">
        <w:rPr>
          <w:lang w:eastAsia="en-IN"/>
        </w:rPr>
        <w:t>Department_Name</w:t>
      </w:r>
      <w:proofErr w:type="spellEnd"/>
      <w:r w:rsidRPr="00892FAA">
        <w:rPr>
          <w:lang w:eastAsia="en-IN"/>
        </w:rPr>
        <w:t xml:space="preserve">, and </w:t>
      </w:r>
      <w:proofErr w:type="spellStart"/>
      <w:r w:rsidRPr="00892FAA">
        <w:rPr>
          <w:lang w:eastAsia="en-IN"/>
        </w:rPr>
        <w:t>Commodity_Name</w:t>
      </w:r>
      <w:proofErr w:type="spellEnd"/>
      <w:r w:rsidRPr="00892FAA">
        <w:rPr>
          <w:lang w:eastAsia="en-IN"/>
        </w:rPr>
        <w:t>, which will need to be considered during analysis.</w:t>
      </w:r>
    </w:p>
    <w:p w14:paraId="46AD4328" w14:textId="77777777" w:rsidR="00892FAA" w:rsidRDefault="00892FAA" w:rsidP="00BA4D80">
      <w:pPr>
        <w:spacing w:line="276" w:lineRule="auto"/>
        <w:jc w:val="both"/>
        <w:rPr>
          <w:lang w:eastAsia="en-IN"/>
        </w:rPr>
      </w:pPr>
    </w:p>
    <w:p w14:paraId="0870CA76" w14:textId="77777777" w:rsidR="001E4295" w:rsidRPr="00714413" w:rsidRDefault="001E4295" w:rsidP="00BA4D80">
      <w:pPr>
        <w:spacing w:line="276" w:lineRule="auto"/>
        <w:jc w:val="both"/>
        <w:rPr>
          <w:lang w:eastAsia="en-IN"/>
        </w:rPr>
      </w:pPr>
    </w:p>
    <w:p w14:paraId="0B729E2E" w14:textId="3223C944" w:rsidR="00714413" w:rsidRPr="00BA4D80" w:rsidRDefault="003073D7" w:rsidP="00BA4D80">
      <w:pPr>
        <w:pStyle w:val="Heading3"/>
        <w:spacing w:line="276" w:lineRule="auto"/>
        <w:rPr>
          <w:b/>
          <w:bCs/>
        </w:rPr>
      </w:pPr>
      <w:bookmarkStart w:id="2" w:name="_Toc164635649"/>
      <w:r w:rsidRPr="00BA4D80">
        <w:rPr>
          <w:b/>
          <w:bCs/>
        </w:rPr>
        <w:t>Research Objective:</w:t>
      </w:r>
      <w:bookmarkEnd w:id="2"/>
    </w:p>
    <w:p w14:paraId="587D1C90" w14:textId="712ACBE9" w:rsidR="00714413" w:rsidRDefault="00714413" w:rsidP="00BA4D80">
      <w:pPr>
        <w:spacing w:line="276" w:lineRule="auto"/>
        <w:jc w:val="both"/>
      </w:pPr>
      <w:r w:rsidRPr="00714413">
        <w:t xml:space="preserve">The primary goal of this research is to </w:t>
      </w:r>
      <w:r w:rsidR="003073D7" w:rsidRPr="00714413">
        <w:t>analyse</w:t>
      </w:r>
      <w:r w:rsidRPr="00714413">
        <w:t xml:space="preserve"> transactional data from a supermarket chain between 2013 and 2015 to gain insights into customer purchasing patterns and sales trends. This study focuses on identifying regular customers by aggregating 2014 data based on continued patronage across the three years, </w:t>
      </w:r>
      <w:r w:rsidR="003073D7" w:rsidRPr="00714413">
        <w:t>analysing</w:t>
      </w:r>
      <w:r w:rsidRPr="00714413">
        <w:t xml:space="preserve"> metrics such as visit frequency, purchase volume, and total spending, and employing cluster analysis to potentially segment the market. Additionally, we will </w:t>
      </w:r>
      <w:r w:rsidR="003073D7" w:rsidRPr="00714413">
        <w:t>analyse</w:t>
      </w:r>
      <w:r w:rsidRPr="00714413">
        <w:t xml:space="preserve"> monthly sales data from all three years to predict first quarter sales for 2016 using various forecasting techniques including time series analysis and regression models. Lastly, by examining the 2013 data, we aim to assess the impact of sales promotions on the volume of purchases, providing insights into how price changes influence consumer </w:t>
      </w:r>
      <w:r w:rsidR="003073D7" w:rsidRPr="00714413">
        <w:t>behaviour</w:t>
      </w:r>
      <w:r w:rsidRPr="00714413">
        <w:t>. This comprehensive analysis will help optimize marketing strategies and enhance business performance</w:t>
      </w:r>
      <w:r w:rsidR="005C4373">
        <w:t>.</w:t>
      </w:r>
    </w:p>
    <w:p w14:paraId="3C0E04D6" w14:textId="77777777" w:rsidR="007102C1" w:rsidRDefault="007102C1" w:rsidP="00BA4D80">
      <w:pPr>
        <w:spacing w:line="276" w:lineRule="auto"/>
        <w:jc w:val="both"/>
      </w:pPr>
    </w:p>
    <w:p w14:paraId="5206B4B6" w14:textId="33E8BFCD" w:rsidR="00BA4D80" w:rsidRPr="00BA4D80" w:rsidRDefault="00BA4D80" w:rsidP="00BA4D80">
      <w:pPr>
        <w:pStyle w:val="Heading1"/>
        <w:spacing w:line="276" w:lineRule="auto"/>
        <w:rPr>
          <w:b/>
          <w:bCs/>
        </w:rPr>
      </w:pPr>
      <w:bookmarkStart w:id="3" w:name="_Toc164635650"/>
      <w:r w:rsidRPr="00BA4D80">
        <w:rPr>
          <w:b/>
          <w:bCs/>
        </w:rPr>
        <w:t>Data Preprocessing</w:t>
      </w:r>
      <w:bookmarkEnd w:id="3"/>
    </w:p>
    <w:p w14:paraId="53686FC6" w14:textId="2420A6B3" w:rsidR="00BA4D80" w:rsidRPr="00BA4D80" w:rsidRDefault="00BA4D80" w:rsidP="00BA4D80">
      <w:pPr>
        <w:spacing w:line="276" w:lineRule="auto"/>
        <w:jc w:val="both"/>
      </w:pPr>
      <w:r w:rsidRPr="00BA4D80">
        <w:t>Prior to conducting our comprehensive analysis, the dataset underwent a crucial phase of data preprocessing to ensure accuracy and reliability. We encountered two significant issues that required rectification. Firstly, the presence of 'super customers' in the transactional data was identified. These outliers were initially perceived as customers making excessively large purchases. Upon further investigation, it was revealed that these were not actual customers, but transactions linked to generic loyalty cards used by staff when shoppers did not have or did not present a loyalty card. To address this anomaly, we disassociated these transactions from the analysis to prevent skewing our insights on customer behaviour and spending patterns.</w:t>
      </w:r>
    </w:p>
    <w:p w14:paraId="6894DC97" w14:textId="77777777" w:rsidR="00BA4D80" w:rsidRPr="00BA4D80" w:rsidRDefault="00BA4D80" w:rsidP="00BA4D80">
      <w:pPr>
        <w:spacing w:line="276" w:lineRule="auto"/>
        <w:jc w:val="both"/>
      </w:pPr>
      <w:r w:rsidRPr="00BA4D80">
        <w:t>Secondly, our data integrity checks revealed instances of negative values in the '</w:t>
      </w:r>
      <w:proofErr w:type="spellStart"/>
      <w:r w:rsidRPr="00BA4D80">
        <w:t>Quantity_Sold</w:t>
      </w:r>
      <w:proofErr w:type="spellEnd"/>
      <w:r w:rsidRPr="00BA4D80">
        <w:t>' and '</w:t>
      </w:r>
      <w:proofErr w:type="spellStart"/>
      <w:r w:rsidRPr="00BA4D80">
        <w:t>Item_Value</w:t>
      </w:r>
      <w:proofErr w:type="spellEnd"/>
      <w:r w:rsidRPr="00BA4D80">
        <w:t>' columns. Such entries are inconsistent with the nature of transactional sales data, as they may represent returns, refunds, or data entry errors. To maintain the integrity of our analysis, which focuses on sales rather than returns, we removed these negative entries from the dataset. This step was necessary to preserve the validity of our analysis, focusing on actual sales activity and customer spending patterns.</w:t>
      </w:r>
    </w:p>
    <w:p w14:paraId="1FFE37CE" w14:textId="77777777" w:rsidR="007102C1" w:rsidRDefault="007102C1" w:rsidP="00BA4D80">
      <w:pPr>
        <w:spacing w:line="276" w:lineRule="auto"/>
        <w:jc w:val="both"/>
      </w:pPr>
    </w:p>
    <w:p w14:paraId="6A489A68" w14:textId="77777777" w:rsidR="00BA4D80" w:rsidRDefault="00BA4D80" w:rsidP="00BA4D80">
      <w:pPr>
        <w:spacing w:line="276" w:lineRule="auto"/>
        <w:jc w:val="both"/>
      </w:pPr>
    </w:p>
    <w:p w14:paraId="5E77AB12" w14:textId="77777777" w:rsidR="00BA4D80" w:rsidRDefault="00BA4D80" w:rsidP="00BA4D80">
      <w:pPr>
        <w:spacing w:line="276" w:lineRule="auto"/>
        <w:jc w:val="both"/>
      </w:pPr>
    </w:p>
    <w:p w14:paraId="594493D5" w14:textId="77777777" w:rsidR="00BA4D80" w:rsidRDefault="00BA4D80" w:rsidP="00BA4D80">
      <w:pPr>
        <w:spacing w:line="276" w:lineRule="auto"/>
        <w:jc w:val="both"/>
      </w:pPr>
    </w:p>
    <w:p w14:paraId="119F2899" w14:textId="77777777" w:rsidR="00BA4D80" w:rsidRDefault="00BA4D80" w:rsidP="00BA4D80">
      <w:pPr>
        <w:pStyle w:val="Heading1"/>
        <w:rPr>
          <w:b/>
          <w:bCs/>
        </w:rPr>
      </w:pPr>
    </w:p>
    <w:p w14:paraId="70DAA54E" w14:textId="77777777" w:rsidR="00BA4D80" w:rsidRPr="00BA4D80" w:rsidRDefault="00BA4D80" w:rsidP="00BA4D80"/>
    <w:p w14:paraId="5E019500" w14:textId="66CAEAD0" w:rsidR="00BA4D80" w:rsidRPr="00BA4D80" w:rsidRDefault="00BA4D80" w:rsidP="00BA4D80">
      <w:pPr>
        <w:pStyle w:val="Heading1"/>
        <w:rPr>
          <w:b/>
          <w:bCs/>
        </w:rPr>
      </w:pPr>
      <w:bookmarkStart w:id="4" w:name="_Toc164635651"/>
      <w:r w:rsidRPr="00BA4D80">
        <w:rPr>
          <w:b/>
          <w:bCs/>
        </w:rPr>
        <w:lastRenderedPageBreak/>
        <w:t>Question 1</w:t>
      </w:r>
      <w:bookmarkEnd w:id="4"/>
    </w:p>
    <w:tbl>
      <w:tblPr>
        <w:tblpPr w:leftFromText="180" w:rightFromText="180" w:vertAnchor="text" w:horzAnchor="margin" w:tblpXSpec="center" w:tblpY="312"/>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2108"/>
        <w:gridCol w:w="1837"/>
        <w:gridCol w:w="1715"/>
        <w:gridCol w:w="1399"/>
      </w:tblGrid>
      <w:tr w:rsidR="00A137AB" w:rsidRPr="00A137AB" w14:paraId="3296C8F5" w14:textId="77777777" w:rsidTr="00A137AB">
        <w:trPr>
          <w:trHeight w:val="381"/>
        </w:trPr>
        <w:tc>
          <w:tcPr>
            <w:tcW w:w="2108" w:type="dxa"/>
            <w:shd w:val="clear" w:color="auto" w:fill="auto"/>
            <w:noWrap/>
            <w:vAlign w:val="center"/>
            <w:hideMark/>
          </w:tcPr>
          <w:p w14:paraId="43E1FF23" w14:textId="77777777" w:rsidR="00A137AB" w:rsidRPr="00A137AB" w:rsidRDefault="00A137AB" w:rsidP="00BA4D80">
            <w:pPr>
              <w:spacing w:after="0" w:line="276" w:lineRule="auto"/>
              <w:jc w:val="center"/>
              <w:rPr>
                <w:rFonts w:ascii="Aptos Narrow" w:eastAsia="Times New Roman" w:hAnsi="Aptos Narrow" w:cs="Times New Roman"/>
                <w:b/>
                <w:bCs/>
                <w:color w:val="104861"/>
                <w:kern w:val="0"/>
                <w:lang w:eastAsia="en-IN"/>
                <w14:ligatures w14:val="none"/>
              </w:rPr>
            </w:pPr>
            <w:r w:rsidRPr="00A137AB">
              <w:rPr>
                <w:rFonts w:ascii="Aptos Narrow" w:eastAsia="Times New Roman" w:hAnsi="Aptos Narrow" w:cs="Times New Roman"/>
                <w:b/>
                <w:bCs/>
                <w:color w:val="104861"/>
                <w:kern w:val="0"/>
                <w:lang w:eastAsia="en-IN"/>
                <w14:ligatures w14:val="none"/>
              </w:rPr>
              <w:t>Index</w:t>
            </w:r>
          </w:p>
        </w:tc>
        <w:tc>
          <w:tcPr>
            <w:tcW w:w="2108" w:type="dxa"/>
            <w:shd w:val="clear" w:color="auto" w:fill="auto"/>
            <w:noWrap/>
            <w:vAlign w:val="center"/>
            <w:hideMark/>
          </w:tcPr>
          <w:p w14:paraId="5005C3F2" w14:textId="77777777" w:rsidR="00A137AB" w:rsidRPr="00A137AB" w:rsidRDefault="00A137AB" w:rsidP="00BA4D80">
            <w:pPr>
              <w:spacing w:after="0" w:line="276" w:lineRule="auto"/>
              <w:jc w:val="center"/>
              <w:rPr>
                <w:rFonts w:ascii="Aptos Narrow" w:eastAsia="Times New Roman" w:hAnsi="Aptos Narrow" w:cs="Times New Roman"/>
                <w:b/>
                <w:bCs/>
                <w:color w:val="104861"/>
                <w:kern w:val="0"/>
                <w:lang w:eastAsia="en-IN"/>
                <w14:ligatures w14:val="none"/>
              </w:rPr>
            </w:pPr>
            <w:proofErr w:type="spellStart"/>
            <w:r w:rsidRPr="00A137AB">
              <w:rPr>
                <w:rFonts w:ascii="Aptos Narrow" w:eastAsia="Times New Roman" w:hAnsi="Aptos Narrow" w:cs="Times New Roman"/>
                <w:b/>
                <w:bCs/>
                <w:color w:val="104861"/>
                <w:kern w:val="0"/>
                <w:lang w:eastAsia="en-IN"/>
                <w14:ligatures w14:val="none"/>
              </w:rPr>
              <w:t>UniSA_Customer_No</w:t>
            </w:r>
            <w:proofErr w:type="spellEnd"/>
          </w:p>
        </w:tc>
        <w:tc>
          <w:tcPr>
            <w:tcW w:w="1837" w:type="dxa"/>
            <w:shd w:val="clear" w:color="auto" w:fill="auto"/>
            <w:noWrap/>
            <w:vAlign w:val="center"/>
            <w:hideMark/>
          </w:tcPr>
          <w:p w14:paraId="083AF9C7" w14:textId="77777777" w:rsidR="00A137AB" w:rsidRPr="00A137AB" w:rsidRDefault="00A137AB" w:rsidP="00BA4D80">
            <w:pPr>
              <w:spacing w:after="0" w:line="276" w:lineRule="auto"/>
              <w:jc w:val="center"/>
              <w:rPr>
                <w:rFonts w:ascii="Aptos Narrow" w:eastAsia="Times New Roman" w:hAnsi="Aptos Narrow" w:cs="Times New Roman"/>
                <w:b/>
                <w:bCs/>
                <w:color w:val="104861"/>
                <w:kern w:val="0"/>
                <w:lang w:eastAsia="en-IN"/>
                <w14:ligatures w14:val="none"/>
              </w:rPr>
            </w:pPr>
            <w:proofErr w:type="spellStart"/>
            <w:r w:rsidRPr="00A137AB">
              <w:rPr>
                <w:rFonts w:ascii="Aptos Narrow" w:eastAsia="Times New Roman" w:hAnsi="Aptos Narrow" w:cs="Times New Roman"/>
                <w:b/>
                <w:bCs/>
                <w:color w:val="104861"/>
                <w:kern w:val="0"/>
                <w:lang w:eastAsia="en-IN"/>
                <w14:ligatures w14:val="none"/>
              </w:rPr>
              <w:t>Number_of_Trips</w:t>
            </w:r>
            <w:proofErr w:type="spellEnd"/>
          </w:p>
        </w:tc>
        <w:tc>
          <w:tcPr>
            <w:tcW w:w="1702" w:type="dxa"/>
            <w:shd w:val="clear" w:color="auto" w:fill="auto"/>
            <w:noWrap/>
            <w:vAlign w:val="center"/>
            <w:hideMark/>
          </w:tcPr>
          <w:p w14:paraId="598CF91E" w14:textId="77777777" w:rsidR="00A137AB" w:rsidRPr="00A137AB" w:rsidRDefault="00A137AB" w:rsidP="00BA4D80">
            <w:pPr>
              <w:spacing w:after="0" w:line="276" w:lineRule="auto"/>
              <w:jc w:val="center"/>
              <w:rPr>
                <w:rFonts w:ascii="Aptos Narrow" w:eastAsia="Times New Roman" w:hAnsi="Aptos Narrow" w:cs="Times New Roman"/>
                <w:b/>
                <w:bCs/>
                <w:color w:val="104861"/>
                <w:kern w:val="0"/>
                <w:lang w:eastAsia="en-IN"/>
                <w14:ligatures w14:val="none"/>
              </w:rPr>
            </w:pPr>
            <w:proofErr w:type="spellStart"/>
            <w:r w:rsidRPr="00A137AB">
              <w:rPr>
                <w:rFonts w:ascii="Aptos Narrow" w:eastAsia="Times New Roman" w:hAnsi="Aptos Narrow" w:cs="Times New Roman"/>
                <w:b/>
                <w:bCs/>
                <w:color w:val="104861"/>
                <w:kern w:val="0"/>
                <w:lang w:eastAsia="en-IN"/>
                <w14:ligatures w14:val="none"/>
              </w:rPr>
              <w:t>Total_Purchases</w:t>
            </w:r>
            <w:proofErr w:type="spellEnd"/>
          </w:p>
        </w:tc>
        <w:tc>
          <w:tcPr>
            <w:tcW w:w="1399" w:type="dxa"/>
            <w:shd w:val="clear" w:color="auto" w:fill="auto"/>
            <w:noWrap/>
            <w:vAlign w:val="center"/>
            <w:hideMark/>
          </w:tcPr>
          <w:p w14:paraId="103DEC16" w14:textId="77777777" w:rsidR="00A137AB" w:rsidRPr="00A137AB" w:rsidRDefault="00A137AB" w:rsidP="00BA4D80">
            <w:pPr>
              <w:spacing w:after="0" w:line="276" w:lineRule="auto"/>
              <w:jc w:val="center"/>
              <w:rPr>
                <w:rFonts w:ascii="Aptos Narrow" w:eastAsia="Times New Roman" w:hAnsi="Aptos Narrow" w:cs="Times New Roman"/>
                <w:b/>
                <w:bCs/>
                <w:color w:val="104861"/>
                <w:kern w:val="0"/>
                <w:lang w:eastAsia="en-IN"/>
                <w14:ligatures w14:val="none"/>
              </w:rPr>
            </w:pPr>
            <w:r w:rsidRPr="00A137AB">
              <w:rPr>
                <w:rFonts w:ascii="Aptos Narrow" w:eastAsia="Times New Roman" w:hAnsi="Aptos Narrow" w:cs="Times New Roman"/>
                <w:b/>
                <w:bCs/>
                <w:color w:val="104861"/>
                <w:kern w:val="0"/>
                <w:lang w:eastAsia="en-IN"/>
                <w14:ligatures w14:val="none"/>
              </w:rPr>
              <w:t>Total_Spent</w:t>
            </w:r>
          </w:p>
        </w:tc>
      </w:tr>
      <w:tr w:rsidR="00A137AB" w:rsidRPr="00A137AB" w14:paraId="24CBF2C5" w14:textId="77777777" w:rsidTr="00A137AB">
        <w:trPr>
          <w:trHeight w:val="234"/>
        </w:trPr>
        <w:tc>
          <w:tcPr>
            <w:tcW w:w="2108" w:type="dxa"/>
            <w:shd w:val="clear" w:color="C0E6F5" w:fill="C0E6F5"/>
            <w:noWrap/>
            <w:vAlign w:val="bottom"/>
            <w:hideMark/>
          </w:tcPr>
          <w:p w14:paraId="5DA824FC"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w:t>
            </w:r>
          </w:p>
        </w:tc>
        <w:tc>
          <w:tcPr>
            <w:tcW w:w="2108" w:type="dxa"/>
            <w:shd w:val="clear" w:color="C0E6F5" w:fill="C0E6F5"/>
            <w:noWrap/>
            <w:vAlign w:val="bottom"/>
            <w:hideMark/>
          </w:tcPr>
          <w:p w14:paraId="169FCA6A"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299827</w:t>
            </w:r>
          </w:p>
        </w:tc>
        <w:tc>
          <w:tcPr>
            <w:tcW w:w="1837" w:type="dxa"/>
            <w:shd w:val="clear" w:color="C0E6F5" w:fill="C0E6F5"/>
            <w:noWrap/>
            <w:vAlign w:val="bottom"/>
            <w:hideMark/>
          </w:tcPr>
          <w:p w14:paraId="0B250972"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133</w:t>
            </w:r>
          </w:p>
        </w:tc>
        <w:tc>
          <w:tcPr>
            <w:tcW w:w="1702" w:type="dxa"/>
            <w:shd w:val="clear" w:color="C0E6F5" w:fill="C0E6F5"/>
            <w:noWrap/>
            <w:vAlign w:val="bottom"/>
            <w:hideMark/>
          </w:tcPr>
          <w:p w14:paraId="26E81216"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1735.0154</w:t>
            </w:r>
          </w:p>
        </w:tc>
        <w:tc>
          <w:tcPr>
            <w:tcW w:w="1399" w:type="dxa"/>
            <w:shd w:val="clear" w:color="C0E6F5" w:fill="C0E6F5"/>
            <w:noWrap/>
            <w:vAlign w:val="bottom"/>
            <w:hideMark/>
          </w:tcPr>
          <w:p w14:paraId="300AAE42"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6599.91</w:t>
            </w:r>
          </w:p>
        </w:tc>
      </w:tr>
      <w:tr w:rsidR="00A137AB" w:rsidRPr="00A137AB" w14:paraId="764D055C" w14:textId="77777777" w:rsidTr="00A137AB">
        <w:trPr>
          <w:trHeight w:val="234"/>
        </w:trPr>
        <w:tc>
          <w:tcPr>
            <w:tcW w:w="2108" w:type="dxa"/>
            <w:shd w:val="clear" w:color="auto" w:fill="auto"/>
            <w:noWrap/>
            <w:vAlign w:val="bottom"/>
            <w:hideMark/>
          </w:tcPr>
          <w:p w14:paraId="3F2D2C69"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2</w:t>
            </w:r>
          </w:p>
        </w:tc>
        <w:tc>
          <w:tcPr>
            <w:tcW w:w="2108" w:type="dxa"/>
            <w:shd w:val="clear" w:color="auto" w:fill="auto"/>
            <w:noWrap/>
            <w:vAlign w:val="bottom"/>
            <w:hideMark/>
          </w:tcPr>
          <w:p w14:paraId="430D7E81"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1925237</w:t>
            </w:r>
          </w:p>
        </w:tc>
        <w:tc>
          <w:tcPr>
            <w:tcW w:w="1837" w:type="dxa"/>
            <w:shd w:val="clear" w:color="auto" w:fill="auto"/>
            <w:noWrap/>
            <w:vAlign w:val="bottom"/>
            <w:hideMark/>
          </w:tcPr>
          <w:p w14:paraId="77BAE3D7"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174</w:t>
            </w:r>
          </w:p>
        </w:tc>
        <w:tc>
          <w:tcPr>
            <w:tcW w:w="1702" w:type="dxa"/>
            <w:shd w:val="clear" w:color="auto" w:fill="auto"/>
            <w:noWrap/>
            <w:vAlign w:val="bottom"/>
            <w:hideMark/>
          </w:tcPr>
          <w:p w14:paraId="57C3AC29"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2840.4109</w:t>
            </w:r>
          </w:p>
        </w:tc>
        <w:tc>
          <w:tcPr>
            <w:tcW w:w="1399" w:type="dxa"/>
            <w:shd w:val="clear" w:color="auto" w:fill="auto"/>
            <w:noWrap/>
            <w:vAlign w:val="bottom"/>
            <w:hideMark/>
          </w:tcPr>
          <w:p w14:paraId="08B080E2"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13625.1692</w:t>
            </w:r>
          </w:p>
        </w:tc>
      </w:tr>
      <w:tr w:rsidR="00A137AB" w:rsidRPr="00A137AB" w14:paraId="11F07DE5" w14:textId="77777777" w:rsidTr="00A137AB">
        <w:trPr>
          <w:trHeight w:val="234"/>
        </w:trPr>
        <w:tc>
          <w:tcPr>
            <w:tcW w:w="2108" w:type="dxa"/>
            <w:shd w:val="clear" w:color="C0E6F5" w:fill="C0E6F5"/>
            <w:noWrap/>
            <w:vAlign w:val="bottom"/>
            <w:hideMark/>
          </w:tcPr>
          <w:p w14:paraId="03D3A186"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3</w:t>
            </w:r>
          </w:p>
        </w:tc>
        <w:tc>
          <w:tcPr>
            <w:tcW w:w="2108" w:type="dxa"/>
            <w:shd w:val="clear" w:color="C0E6F5" w:fill="C0E6F5"/>
            <w:noWrap/>
            <w:vAlign w:val="bottom"/>
            <w:hideMark/>
          </w:tcPr>
          <w:p w14:paraId="68E831F9"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2984536</w:t>
            </w:r>
          </w:p>
        </w:tc>
        <w:tc>
          <w:tcPr>
            <w:tcW w:w="1837" w:type="dxa"/>
            <w:shd w:val="clear" w:color="C0E6F5" w:fill="C0E6F5"/>
            <w:noWrap/>
            <w:vAlign w:val="bottom"/>
            <w:hideMark/>
          </w:tcPr>
          <w:p w14:paraId="2ED20250"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6</w:t>
            </w:r>
          </w:p>
        </w:tc>
        <w:tc>
          <w:tcPr>
            <w:tcW w:w="1702" w:type="dxa"/>
            <w:shd w:val="clear" w:color="C0E6F5" w:fill="C0E6F5"/>
            <w:noWrap/>
            <w:vAlign w:val="bottom"/>
            <w:hideMark/>
          </w:tcPr>
          <w:p w14:paraId="49AF7D45"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166.9898</w:t>
            </w:r>
          </w:p>
        </w:tc>
        <w:tc>
          <w:tcPr>
            <w:tcW w:w="1399" w:type="dxa"/>
            <w:shd w:val="clear" w:color="C0E6F5" w:fill="C0E6F5"/>
            <w:noWrap/>
            <w:vAlign w:val="bottom"/>
            <w:hideMark/>
          </w:tcPr>
          <w:p w14:paraId="6C65A179"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742.89</w:t>
            </w:r>
          </w:p>
        </w:tc>
      </w:tr>
      <w:tr w:rsidR="00A137AB" w:rsidRPr="00A137AB" w14:paraId="1A59E1A8" w14:textId="77777777" w:rsidTr="00A137AB">
        <w:trPr>
          <w:trHeight w:val="234"/>
        </w:trPr>
        <w:tc>
          <w:tcPr>
            <w:tcW w:w="2108" w:type="dxa"/>
            <w:shd w:val="clear" w:color="auto" w:fill="auto"/>
            <w:noWrap/>
            <w:vAlign w:val="bottom"/>
            <w:hideMark/>
          </w:tcPr>
          <w:p w14:paraId="521A7310"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4</w:t>
            </w:r>
          </w:p>
        </w:tc>
        <w:tc>
          <w:tcPr>
            <w:tcW w:w="2108" w:type="dxa"/>
            <w:shd w:val="clear" w:color="auto" w:fill="auto"/>
            <w:noWrap/>
            <w:vAlign w:val="bottom"/>
            <w:hideMark/>
          </w:tcPr>
          <w:p w14:paraId="5BBD017B"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3004639</w:t>
            </w:r>
          </w:p>
        </w:tc>
        <w:tc>
          <w:tcPr>
            <w:tcW w:w="1837" w:type="dxa"/>
            <w:shd w:val="clear" w:color="auto" w:fill="auto"/>
            <w:noWrap/>
            <w:vAlign w:val="bottom"/>
            <w:hideMark/>
          </w:tcPr>
          <w:p w14:paraId="7CEEAF43"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19</w:t>
            </w:r>
          </w:p>
        </w:tc>
        <w:tc>
          <w:tcPr>
            <w:tcW w:w="1702" w:type="dxa"/>
            <w:shd w:val="clear" w:color="auto" w:fill="auto"/>
            <w:noWrap/>
            <w:vAlign w:val="bottom"/>
            <w:hideMark/>
          </w:tcPr>
          <w:p w14:paraId="6BC68689"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461.5841</w:t>
            </w:r>
          </w:p>
        </w:tc>
        <w:tc>
          <w:tcPr>
            <w:tcW w:w="1399" w:type="dxa"/>
            <w:shd w:val="clear" w:color="auto" w:fill="auto"/>
            <w:noWrap/>
            <w:vAlign w:val="bottom"/>
            <w:hideMark/>
          </w:tcPr>
          <w:p w14:paraId="3A2436DF"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1824.38</w:t>
            </w:r>
          </w:p>
        </w:tc>
      </w:tr>
      <w:tr w:rsidR="00A137AB" w:rsidRPr="00A137AB" w14:paraId="2A9A8937" w14:textId="77777777" w:rsidTr="00A137AB">
        <w:trPr>
          <w:trHeight w:val="234"/>
        </w:trPr>
        <w:tc>
          <w:tcPr>
            <w:tcW w:w="2108" w:type="dxa"/>
            <w:shd w:val="clear" w:color="C0E6F5" w:fill="C0E6F5"/>
            <w:noWrap/>
            <w:vAlign w:val="bottom"/>
            <w:hideMark/>
          </w:tcPr>
          <w:p w14:paraId="053298F1"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5</w:t>
            </w:r>
          </w:p>
        </w:tc>
        <w:tc>
          <w:tcPr>
            <w:tcW w:w="2108" w:type="dxa"/>
            <w:shd w:val="clear" w:color="C0E6F5" w:fill="C0E6F5"/>
            <w:noWrap/>
            <w:vAlign w:val="bottom"/>
            <w:hideMark/>
          </w:tcPr>
          <w:p w14:paraId="0121FDCB"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5225820</w:t>
            </w:r>
          </w:p>
        </w:tc>
        <w:tc>
          <w:tcPr>
            <w:tcW w:w="1837" w:type="dxa"/>
            <w:shd w:val="clear" w:color="C0E6F5" w:fill="C0E6F5"/>
            <w:noWrap/>
            <w:vAlign w:val="bottom"/>
            <w:hideMark/>
          </w:tcPr>
          <w:p w14:paraId="1011F69E"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17</w:t>
            </w:r>
          </w:p>
        </w:tc>
        <w:tc>
          <w:tcPr>
            <w:tcW w:w="1702" w:type="dxa"/>
            <w:shd w:val="clear" w:color="C0E6F5" w:fill="C0E6F5"/>
            <w:noWrap/>
            <w:vAlign w:val="bottom"/>
            <w:hideMark/>
          </w:tcPr>
          <w:p w14:paraId="1C2EC2C6"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37.4722</w:t>
            </w:r>
          </w:p>
        </w:tc>
        <w:tc>
          <w:tcPr>
            <w:tcW w:w="1399" w:type="dxa"/>
            <w:shd w:val="clear" w:color="C0E6F5" w:fill="C0E6F5"/>
            <w:noWrap/>
            <w:vAlign w:val="bottom"/>
            <w:hideMark/>
          </w:tcPr>
          <w:p w14:paraId="48F2EDD3"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171.31</w:t>
            </w:r>
          </w:p>
        </w:tc>
      </w:tr>
      <w:tr w:rsidR="00A137AB" w:rsidRPr="00A137AB" w14:paraId="6D55CDEF" w14:textId="77777777" w:rsidTr="00A137AB">
        <w:trPr>
          <w:trHeight w:val="234"/>
        </w:trPr>
        <w:tc>
          <w:tcPr>
            <w:tcW w:w="2108" w:type="dxa"/>
            <w:shd w:val="clear" w:color="auto" w:fill="auto"/>
            <w:noWrap/>
            <w:vAlign w:val="bottom"/>
            <w:hideMark/>
          </w:tcPr>
          <w:p w14:paraId="058EBEC7"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6</w:t>
            </w:r>
          </w:p>
        </w:tc>
        <w:tc>
          <w:tcPr>
            <w:tcW w:w="2108" w:type="dxa"/>
            <w:shd w:val="clear" w:color="auto" w:fill="auto"/>
            <w:noWrap/>
            <w:vAlign w:val="bottom"/>
            <w:hideMark/>
          </w:tcPr>
          <w:p w14:paraId="503989D2"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5316222</w:t>
            </w:r>
          </w:p>
        </w:tc>
        <w:tc>
          <w:tcPr>
            <w:tcW w:w="1837" w:type="dxa"/>
            <w:shd w:val="clear" w:color="auto" w:fill="auto"/>
            <w:noWrap/>
            <w:vAlign w:val="bottom"/>
            <w:hideMark/>
          </w:tcPr>
          <w:p w14:paraId="4A69199A"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w:t>
            </w:r>
          </w:p>
        </w:tc>
        <w:tc>
          <w:tcPr>
            <w:tcW w:w="1702" w:type="dxa"/>
            <w:shd w:val="clear" w:color="auto" w:fill="auto"/>
            <w:noWrap/>
            <w:vAlign w:val="bottom"/>
            <w:hideMark/>
          </w:tcPr>
          <w:p w14:paraId="3D07FA65"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4.61</w:t>
            </w:r>
          </w:p>
        </w:tc>
        <w:tc>
          <w:tcPr>
            <w:tcW w:w="1399" w:type="dxa"/>
            <w:shd w:val="clear" w:color="auto" w:fill="auto"/>
            <w:noWrap/>
            <w:vAlign w:val="bottom"/>
            <w:hideMark/>
          </w:tcPr>
          <w:p w14:paraId="761DB92C"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32.69</w:t>
            </w:r>
          </w:p>
        </w:tc>
      </w:tr>
      <w:tr w:rsidR="00A137AB" w:rsidRPr="00A137AB" w14:paraId="07B48DA1" w14:textId="77777777" w:rsidTr="00A137AB">
        <w:trPr>
          <w:trHeight w:val="234"/>
        </w:trPr>
        <w:tc>
          <w:tcPr>
            <w:tcW w:w="2108" w:type="dxa"/>
            <w:shd w:val="clear" w:color="C0E6F5" w:fill="C0E6F5"/>
            <w:noWrap/>
            <w:vAlign w:val="bottom"/>
            <w:hideMark/>
          </w:tcPr>
          <w:p w14:paraId="0FCA3AE5"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7</w:t>
            </w:r>
          </w:p>
        </w:tc>
        <w:tc>
          <w:tcPr>
            <w:tcW w:w="2108" w:type="dxa"/>
            <w:shd w:val="clear" w:color="C0E6F5" w:fill="C0E6F5"/>
            <w:noWrap/>
            <w:vAlign w:val="bottom"/>
            <w:hideMark/>
          </w:tcPr>
          <w:p w14:paraId="5C421A6A"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5714956</w:t>
            </w:r>
          </w:p>
        </w:tc>
        <w:tc>
          <w:tcPr>
            <w:tcW w:w="1837" w:type="dxa"/>
            <w:shd w:val="clear" w:color="C0E6F5" w:fill="C0E6F5"/>
            <w:noWrap/>
            <w:vAlign w:val="bottom"/>
            <w:hideMark/>
          </w:tcPr>
          <w:p w14:paraId="6EFC2953"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54</w:t>
            </w:r>
          </w:p>
        </w:tc>
        <w:tc>
          <w:tcPr>
            <w:tcW w:w="1702" w:type="dxa"/>
            <w:shd w:val="clear" w:color="C0E6F5" w:fill="C0E6F5"/>
            <w:noWrap/>
            <w:vAlign w:val="bottom"/>
            <w:hideMark/>
          </w:tcPr>
          <w:p w14:paraId="5ACA46AB"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299.7333</w:t>
            </w:r>
          </w:p>
        </w:tc>
        <w:tc>
          <w:tcPr>
            <w:tcW w:w="1399" w:type="dxa"/>
            <w:shd w:val="clear" w:color="C0E6F5" w:fill="C0E6F5"/>
            <w:noWrap/>
            <w:vAlign w:val="bottom"/>
            <w:hideMark/>
          </w:tcPr>
          <w:p w14:paraId="1D05EF28"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1427.04</w:t>
            </w:r>
          </w:p>
        </w:tc>
      </w:tr>
      <w:tr w:rsidR="00A137AB" w:rsidRPr="00A137AB" w14:paraId="03286119" w14:textId="77777777" w:rsidTr="00A137AB">
        <w:trPr>
          <w:trHeight w:val="234"/>
        </w:trPr>
        <w:tc>
          <w:tcPr>
            <w:tcW w:w="2108" w:type="dxa"/>
            <w:shd w:val="clear" w:color="auto" w:fill="auto"/>
            <w:noWrap/>
            <w:vAlign w:val="bottom"/>
            <w:hideMark/>
          </w:tcPr>
          <w:p w14:paraId="34AA0087"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8</w:t>
            </w:r>
          </w:p>
        </w:tc>
        <w:tc>
          <w:tcPr>
            <w:tcW w:w="2108" w:type="dxa"/>
            <w:shd w:val="clear" w:color="auto" w:fill="auto"/>
            <w:noWrap/>
            <w:vAlign w:val="bottom"/>
            <w:hideMark/>
          </w:tcPr>
          <w:p w14:paraId="78E306DE"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6312990</w:t>
            </w:r>
          </w:p>
        </w:tc>
        <w:tc>
          <w:tcPr>
            <w:tcW w:w="1837" w:type="dxa"/>
            <w:shd w:val="clear" w:color="auto" w:fill="auto"/>
            <w:noWrap/>
            <w:vAlign w:val="bottom"/>
            <w:hideMark/>
          </w:tcPr>
          <w:p w14:paraId="388B6BF5"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41</w:t>
            </w:r>
          </w:p>
        </w:tc>
        <w:tc>
          <w:tcPr>
            <w:tcW w:w="1702" w:type="dxa"/>
            <w:shd w:val="clear" w:color="auto" w:fill="auto"/>
            <w:noWrap/>
            <w:vAlign w:val="bottom"/>
            <w:hideMark/>
          </w:tcPr>
          <w:p w14:paraId="57B972D7"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925.373</w:t>
            </w:r>
          </w:p>
        </w:tc>
        <w:tc>
          <w:tcPr>
            <w:tcW w:w="1399" w:type="dxa"/>
            <w:shd w:val="clear" w:color="auto" w:fill="auto"/>
            <w:noWrap/>
            <w:vAlign w:val="bottom"/>
            <w:hideMark/>
          </w:tcPr>
          <w:p w14:paraId="00777DF9"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3638.6</w:t>
            </w:r>
          </w:p>
        </w:tc>
      </w:tr>
      <w:tr w:rsidR="00A137AB" w:rsidRPr="00A137AB" w14:paraId="2F3D1FFE" w14:textId="77777777" w:rsidTr="00A137AB">
        <w:trPr>
          <w:trHeight w:val="234"/>
        </w:trPr>
        <w:tc>
          <w:tcPr>
            <w:tcW w:w="2108" w:type="dxa"/>
            <w:shd w:val="clear" w:color="C0E6F5" w:fill="C0E6F5"/>
            <w:noWrap/>
            <w:vAlign w:val="bottom"/>
            <w:hideMark/>
          </w:tcPr>
          <w:p w14:paraId="3F21B2EE"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w:t>
            </w:r>
          </w:p>
        </w:tc>
        <w:tc>
          <w:tcPr>
            <w:tcW w:w="2108" w:type="dxa"/>
            <w:shd w:val="clear" w:color="C0E6F5" w:fill="C0E6F5"/>
            <w:noWrap/>
            <w:vAlign w:val="bottom"/>
            <w:hideMark/>
          </w:tcPr>
          <w:p w14:paraId="0ADA384E"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6652575</w:t>
            </w:r>
          </w:p>
        </w:tc>
        <w:tc>
          <w:tcPr>
            <w:tcW w:w="1837" w:type="dxa"/>
            <w:shd w:val="clear" w:color="C0E6F5" w:fill="C0E6F5"/>
            <w:noWrap/>
            <w:vAlign w:val="bottom"/>
            <w:hideMark/>
          </w:tcPr>
          <w:p w14:paraId="70AEB969"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w:t>
            </w:r>
          </w:p>
        </w:tc>
        <w:tc>
          <w:tcPr>
            <w:tcW w:w="1702" w:type="dxa"/>
            <w:shd w:val="clear" w:color="C0E6F5" w:fill="C0E6F5"/>
            <w:noWrap/>
            <w:vAlign w:val="bottom"/>
            <w:hideMark/>
          </w:tcPr>
          <w:p w14:paraId="7A0BF05F"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26.16</w:t>
            </w:r>
          </w:p>
        </w:tc>
        <w:tc>
          <w:tcPr>
            <w:tcW w:w="1399" w:type="dxa"/>
            <w:shd w:val="clear" w:color="C0E6F5" w:fill="C0E6F5"/>
            <w:noWrap/>
            <w:vAlign w:val="bottom"/>
            <w:hideMark/>
          </w:tcPr>
          <w:p w14:paraId="371156D6"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82</w:t>
            </w:r>
          </w:p>
        </w:tc>
      </w:tr>
      <w:tr w:rsidR="00A137AB" w:rsidRPr="00A137AB" w14:paraId="469E142D" w14:textId="77777777" w:rsidTr="00A137AB">
        <w:trPr>
          <w:trHeight w:val="234"/>
        </w:trPr>
        <w:tc>
          <w:tcPr>
            <w:tcW w:w="2108" w:type="dxa"/>
            <w:shd w:val="clear" w:color="auto" w:fill="auto"/>
            <w:noWrap/>
            <w:vAlign w:val="bottom"/>
            <w:hideMark/>
          </w:tcPr>
          <w:p w14:paraId="57011B5A"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10</w:t>
            </w:r>
          </w:p>
        </w:tc>
        <w:tc>
          <w:tcPr>
            <w:tcW w:w="2108" w:type="dxa"/>
            <w:shd w:val="clear" w:color="auto" w:fill="auto"/>
            <w:noWrap/>
            <w:vAlign w:val="bottom"/>
            <w:hideMark/>
          </w:tcPr>
          <w:p w14:paraId="608341DB"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7180839</w:t>
            </w:r>
          </w:p>
        </w:tc>
        <w:tc>
          <w:tcPr>
            <w:tcW w:w="1837" w:type="dxa"/>
            <w:shd w:val="clear" w:color="auto" w:fill="auto"/>
            <w:noWrap/>
            <w:vAlign w:val="bottom"/>
            <w:hideMark/>
          </w:tcPr>
          <w:p w14:paraId="2682598F"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32</w:t>
            </w:r>
          </w:p>
        </w:tc>
        <w:tc>
          <w:tcPr>
            <w:tcW w:w="1702" w:type="dxa"/>
            <w:shd w:val="clear" w:color="auto" w:fill="auto"/>
            <w:noWrap/>
            <w:vAlign w:val="bottom"/>
            <w:hideMark/>
          </w:tcPr>
          <w:p w14:paraId="71B2851C"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247.8683</w:t>
            </w:r>
          </w:p>
        </w:tc>
        <w:tc>
          <w:tcPr>
            <w:tcW w:w="1399" w:type="dxa"/>
            <w:shd w:val="clear" w:color="auto" w:fill="auto"/>
            <w:noWrap/>
            <w:vAlign w:val="bottom"/>
            <w:hideMark/>
          </w:tcPr>
          <w:p w14:paraId="68A96BEB"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1211.96</w:t>
            </w:r>
          </w:p>
        </w:tc>
      </w:tr>
      <w:tr w:rsidR="00A137AB" w:rsidRPr="00A137AB" w14:paraId="7F61A7CE" w14:textId="77777777" w:rsidTr="00A137AB">
        <w:trPr>
          <w:trHeight w:val="234"/>
        </w:trPr>
        <w:tc>
          <w:tcPr>
            <w:tcW w:w="2108" w:type="dxa"/>
            <w:shd w:val="clear" w:color="C0E6F5" w:fill="C0E6F5"/>
            <w:noWrap/>
            <w:vAlign w:val="bottom"/>
            <w:hideMark/>
          </w:tcPr>
          <w:p w14:paraId="3978DB37"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10997</w:t>
            </w:r>
          </w:p>
        </w:tc>
        <w:tc>
          <w:tcPr>
            <w:tcW w:w="2108" w:type="dxa"/>
            <w:shd w:val="clear" w:color="C0E6F5" w:fill="C0E6F5"/>
            <w:noWrap/>
            <w:vAlign w:val="bottom"/>
            <w:hideMark/>
          </w:tcPr>
          <w:p w14:paraId="6C7E90CA"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9990742549</w:t>
            </w:r>
          </w:p>
        </w:tc>
        <w:tc>
          <w:tcPr>
            <w:tcW w:w="1837" w:type="dxa"/>
            <w:shd w:val="clear" w:color="C0E6F5" w:fill="C0E6F5"/>
            <w:noWrap/>
            <w:vAlign w:val="bottom"/>
            <w:hideMark/>
          </w:tcPr>
          <w:p w14:paraId="4E857DFB"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44</w:t>
            </w:r>
          </w:p>
        </w:tc>
        <w:tc>
          <w:tcPr>
            <w:tcW w:w="1702" w:type="dxa"/>
            <w:shd w:val="clear" w:color="C0E6F5" w:fill="C0E6F5"/>
            <w:noWrap/>
            <w:vAlign w:val="bottom"/>
            <w:hideMark/>
          </w:tcPr>
          <w:p w14:paraId="723EF5E6"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416.6245</w:t>
            </w:r>
          </w:p>
        </w:tc>
        <w:tc>
          <w:tcPr>
            <w:tcW w:w="1399" w:type="dxa"/>
            <w:shd w:val="clear" w:color="C0E6F5" w:fill="C0E6F5"/>
            <w:noWrap/>
            <w:vAlign w:val="bottom"/>
            <w:hideMark/>
          </w:tcPr>
          <w:p w14:paraId="746C7216"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1768.5706</w:t>
            </w:r>
          </w:p>
        </w:tc>
      </w:tr>
      <w:tr w:rsidR="00A137AB" w:rsidRPr="00A137AB" w14:paraId="7FD76FBF" w14:textId="77777777" w:rsidTr="00A137AB">
        <w:trPr>
          <w:trHeight w:val="234"/>
        </w:trPr>
        <w:tc>
          <w:tcPr>
            <w:tcW w:w="2108" w:type="dxa"/>
            <w:shd w:val="clear" w:color="auto" w:fill="auto"/>
            <w:noWrap/>
            <w:vAlign w:val="bottom"/>
            <w:hideMark/>
          </w:tcPr>
          <w:p w14:paraId="606F86BD"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10998</w:t>
            </w:r>
          </w:p>
        </w:tc>
        <w:tc>
          <w:tcPr>
            <w:tcW w:w="2108" w:type="dxa"/>
            <w:shd w:val="clear" w:color="auto" w:fill="auto"/>
            <w:noWrap/>
            <w:vAlign w:val="bottom"/>
            <w:hideMark/>
          </w:tcPr>
          <w:p w14:paraId="3190F912"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9991166278</w:t>
            </w:r>
          </w:p>
        </w:tc>
        <w:tc>
          <w:tcPr>
            <w:tcW w:w="1837" w:type="dxa"/>
            <w:shd w:val="clear" w:color="auto" w:fill="auto"/>
            <w:noWrap/>
            <w:vAlign w:val="bottom"/>
            <w:hideMark/>
          </w:tcPr>
          <w:p w14:paraId="21AFFD69"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99</w:t>
            </w:r>
          </w:p>
        </w:tc>
        <w:tc>
          <w:tcPr>
            <w:tcW w:w="1702" w:type="dxa"/>
            <w:shd w:val="clear" w:color="auto" w:fill="auto"/>
            <w:noWrap/>
            <w:vAlign w:val="bottom"/>
            <w:hideMark/>
          </w:tcPr>
          <w:p w14:paraId="77995EC3"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1235.4566</w:t>
            </w:r>
          </w:p>
        </w:tc>
        <w:tc>
          <w:tcPr>
            <w:tcW w:w="1399" w:type="dxa"/>
            <w:shd w:val="clear" w:color="auto" w:fill="auto"/>
            <w:noWrap/>
            <w:vAlign w:val="bottom"/>
            <w:hideMark/>
          </w:tcPr>
          <w:p w14:paraId="51D552D4"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4563.34</w:t>
            </w:r>
          </w:p>
        </w:tc>
      </w:tr>
      <w:tr w:rsidR="00A137AB" w:rsidRPr="00A137AB" w14:paraId="738ED286" w14:textId="77777777" w:rsidTr="00A137AB">
        <w:trPr>
          <w:trHeight w:val="234"/>
        </w:trPr>
        <w:tc>
          <w:tcPr>
            <w:tcW w:w="2108" w:type="dxa"/>
            <w:shd w:val="clear" w:color="C0E6F5" w:fill="C0E6F5"/>
            <w:noWrap/>
            <w:vAlign w:val="bottom"/>
            <w:hideMark/>
          </w:tcPr>
          <w:p w14:paraId="06E6DF56"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10999</w:t>
            </w:r>
          </w:p>
        </w:tc>
        <w:tc>
          <w:tcPr>
            <w:tcW w:w="2108" w:type="dxa"/>
            <w:shd w:val="clear" w:color="C0E6F5" w:fill="C0E6F5"/>
            <w:noWrap/>
            <w:vAlign w:val="bottom"/>
            <w:hideMark/>
          </w:tcPr>
          <w:p w14:paraId="62129DEA"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9993661500</w:t>
            </w:r>
          </w:p>
        </w:tc>
        <w:tc>
          <w:tcPr>
            <w:tcW w:w="1837" w:type="dxa"/>
            <w:shd w:val="clear" w:color="C0E6F5" w:fill="C0E6F5"/>
            <w:noWrap/>
            <w:vAlign w:val="bottom"/>
            <w:hideMark/>
          </w:tcPr>
          <w:p w14:paraId="7F40F245"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32</w:t>
            </w:r>
          </w:p>
        </w:tc>
        <w:tc>
          <w:tcPr>
            <w:tcW w:w="1702" w:type="dxa"/>
            <w:shd w:val="clear" w:color="C0E6F5" w:fill="C0E6F5"/>
            <w:noWrap/>
            <w:vAlign w:val="bottom"/>
            <w:hideMark/>
          </w:tcPr>
          <w:p w14:paraId="799B4037"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1049.2876</w:t>
            </w:r>
          </w:p>
        </w:tc>
        <w:tc>
          <w:tcPr>
            <w:tcW w:w="1399" w:type="dxa"/>
            <w:shd w:val="clear" w:color="C0E6F5" w:fill="C0E6F5"/>
            <w:noWrap/>
            <w:vAlign w:val="bottom"/>
            <w:hideMark/>
          </w:tcPr>
          <w:p w14:paraId="53FB879F"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3754.16</w:t>
            </w:r>
          </w:p>
        </w:tc>
      </w:tr>
      <w:tr w:rsidR="00A137AB" w:rsidRPr="00A137AB" w14:paraId="64D0C498" w14:textId="77777777" w:rsidTr="00A137AB">
        <w:trPr>
          <w:trHeight w:val="234"/>
        </w:trPr>
        <w:tc>
          <w:tcPr>
            <w:tcW w:w="2108" w:type="dxa"/>
            <w:shd w:val="clear" w:color="auto" w:fill="auto"/>
            <w:noWrap/>
            <w:vAlign w:val="bottom"/>
            <w:hideMark/>
          </w:tcPr>
          <w:p w14:paraId="492F50DF"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11000</w:t>
            </w:r>
          </w:p>
        </w:tc>
        <w:tc>
          <w:tcPr>
            <w:tcW w:w="2108" w:type="dxa"/>
            <w:shd w:val="clear" w:color="auto" w:fill="auto"/>
            <w:noWrap/>
            <w:vAlign w:val="bottom"/>
            <w:hideMark/>
          </w:tcPr>
          <w:p w14:paraId="373E4DF5"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9993879211</w:t>
            </w:r>
          </w:p>
        </w:tc>
        <w:tc>
          <w:tcPr>
            <w:tcW w:w="1837" w:type="dxa"/>
            <w:shd w:val="clear" w:color="auto" w:fill="auto"/>
            <w:noWrap/>
            <w:vAlign w:val="bottom"/>
            <w:hideMark/>
          </w:tcPr>
          <w:p w14:paraId="6C418CC3"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6</w:t>
            </w:r>
          </w:p>
        </w:tc>
        <w:tc>
          <w:tcPr>
            <w:tcW w:w="1702" w:type="dxa"/>
            <w:shd w:val="clear" w:color="auto" w:fill="auto"/>
            <w:noWrap/>
            <w:vAlign w:val="bottom"/>
            <w:hideMark/>
          </w:tcPr>
          <w:p w14:paraId="29C21019"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18.693</w:t>
            </w:r>
          </w:p>
        </w:tc>
        <w:tc>
          <w:tcPr>
            <w:tcW w:w="1399" w:type="dxa"/>
            <w:shd w:val="clear" w:color="auto" w:fill="auto"/>
            <w:noWrap/>
            <w:vAlign w:val="bottom"/>
            <w:hideMark/>
          </w:tcPr>
          <w:p w14:paraId="14F06148"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80.94</w:t>
            </w:r>
          </w:p>
        </w:tc>
      </w:tr>
      <w:tr w:rsidR="00A137AB" w:rsidRPr="00A137AB" w14:paraId="1BCACD9D" w14:textId="77777777" w:rsidTr="00A137AB">
        <w:trPr>
          <w:trHeight w:val="234"/>
        </w:trPr>
        <w:tc>
          <w:tcPr>
            <w:tcW w:w="2108" w:type="dxa"/>
            <w:shd w:val="clear" w:color="C0E6F5" w:fill="C0E6F5"/>
            <w:noWrap/>
            <w:vAlign w:val="bottom"/>
            <w:hideMark/>
          </w:tcPr>
          <w:p w14:paraId="3812F953"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11001</w:t>
            </w:r>
          </w:p>
        </w:tc>
        <w:tc>
          <w:tcPr>
            <w:tcW w:w="2108" w:type="dxa"/>
            <w:shd w:val="clear" w:color="C0E6F5" w:fill="C0E6F5"/>
            <w:noWrap/>
            <w:vAlign w:val="bottom"/>
            <w:hideMark/>
          </w:tcPr>
          <w:p w14:paraId="4AF3B387"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9993952646</w:t>
            </w:r>
          </w:p>
        </w:tc>
        <w:tc>
          <w:tcPr>
            <w:tcW w:w="1837" w:type="dxa"/>
            <w:shd w:val="clear" w:color="C0E6F5" w:fill="C0E6F5"/>
            <w:noWrap/>
            <w:vAlign w:val="bottom"/>
            <w:hideMark/>
          </w:tcPr>
          <w:p w14:paraId="023B1BBC"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29</w:t>
            </w:r>
          </w:p>
        </w:tc>
        <w:tc>
          <w:tcPr>
            <w:tcW w:w="1702" w:type="dxa"/>
            <w:shd w:val="clear" w:color="C0E6F5" w:fill="C0E6F5"/>
            <w:noWrap/>
            <w:vAlign w:val="bottom"/>
            <w:hideMark/>
          </w:tcPr>
          <w:p w14:paraId="30A3BF09"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565.6243</w:t>
            </w:r>
          </w:p>
        </w:tc>
        <w:tc>
          <w:tcPr>
            <w:tcW w:w="1399" w:type="dxa"/>
            <w:shd w:val="clear" w:color="C0E6F5" w:fill="C0E6F5"/>
            <w:noWrap/>
            <w:vAlign w:val="bottom"/>
            <w:hideMark/>
          </w:tcPr>
          <w:p w14:paraId="14E4778B"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2100.64</w:t>
            </w:r>
          </w:p>
        </w:tc>
      </w:tr>
      <w:tr w:rsidR="00A137AB" w:rsidRPr="00A137AB" w14:paraId="1DECD85E" w14:textId="77777777" w:rsidTr="00A137AB">
        <w:trPr>
          <w:trHeight w:val="234"/>
        </w:trPr>
        <w:tc>
          <w:tcPr>
            <w:tcW w:w="2108" w:type="dxa"/>
            <w:shd w:val="clear" w:color="auto" w:fill="auto"/>
            <w:noWrap/>
            <w:vAlign w:val="bottom"/>
            <w:hideMark/>
          </w:tcPr>
          <w:p w14:paraId="4E3EC9C4"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11002</w:t>
            </w:r>
          </w:p>
        </w:tc>
        <w:tc>
          <w:tcPr>
            <w:tcW w:w="2108" w:type="dxa"/>
            <w:shd w:val="clear" w:color="auto" w:fill="auto"/>
            <w:noWrap/>
            <w:vAlign w:val="bottom"/>
            <w:hideMark/>
          </w:tcPr>
          <w:p w14:paraId="59CF33DA"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9994391298</w:t>
            </w:r>
          </w:p>
        </w:tc>
        <w:tc>
          <w:tcPr>
            <w:tcW w:w="1837" w:type="dxa"/>
            <w:shd w:val="clear" w:color="auto" w:fill="auto"/>
            <w:noWrap/>
            <w:vAlign w:val="bottom"/>
            <w:hideMark/>
          </w:tcPr>
          <w:p w14:paraId="7D050F41"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w:t>
            </w:r>
          </w:p>
        </w:tc>
        <w:tc>
          <w:tcPr>
            <w:tcW w:w="1702" w:type="dxa"/>
            <w:shd w:val="clear" w:color="auto" w:fill="auto"/>
            <w:noWrap/>
            <w:vAlign w:val="bottom"/>
            <w:hideMark/>
          </w:tcPr>
          <w:p w14:paraId="46272161"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284.0341</w:t>
            </w:r>
          </w:p>
        </w:tc>
        <w:tc>
          <w:tcPr>
            <w:tcW w:w="1399" w:type="dxa"/>
            <w:shd w:val="clear" w:color="auto" w:fill="auto"/>
            <w:noWrap/>
            <w:vAlign w:val="bottom"/>
            <w:hideMark/>
          </w:tcPr>
          <w:p w14:paraId="66386E50"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1449.58</w:t>
            </w:r>
          </w:p>
        </w:tc>
      </w:tr>
      <w:tr w:rsidR="00A137AB" w:rsidRPr="00A137AB" w14:paraId="041EFC55" w14:textId="77777777" w:rsidTr="00A137AB">
        <w:trPr>
          <w:trHeight w:val="234"/>
        </w:trPr>
        <w:tc>
          <w:tcPr>
            <w:tcW w:w="2108" w:type="dxa"/>
            <w:shd w:val="clear" w:color="C0E6F5" w:fill="C0E6F5"/>
            <w:noWrap/>
            <w:vAlign w:val="bottom"/>
            <w:hideMark/>
          </w:tcPr>
          <w:p w14:paraId="223557CE"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11003</w:t>
            </w:r>
          </w:p>
        </w:tc>
        <w:tc>
          <w:tcPr>
            <w:tcW w:w="2108" w:type="dxa"/>
            <w:shd w:val="clear" w:color="C0E6F5" w:fill="C0E6F5"/>
            <w:noWrap/>
            <w:vAlign w:val="bottom"/>
            <w:hideMark/>
          </w:tcPr>
          <w:p w14:paraId="73764283"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9994971948</w:t>
            </w:r>
          </w:p>
        </w:tc>
        <w:tc>
          <w:tcPr>
            <w:tcW w:w="1837" w:type="dxa"/>
            <w:shd w:val="clear" w:color="C0E6F5" w:fill="C0E6F5"/>
            <w:noWrap/>
            <w:vAlign w:val="bottom"/>
            <w:hideMark/>
          </w:tcPr>
          <w:p w14:paraId="1AE2A323"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61</w:t>
            </w:r>
          </w:p>
        </w:tc>
        <w:tc>
          <w:tcPr>
            <w:tcW w:w="1702" w:type="dxa"/>
            <w:shd w:val="clear" w:color="C0E6F5" w:fill="C0E6F5"/>
            <w:noWrap/>
            <w:vAlign w:val="bottom"/>
            <w:hideMark/>
          </w:tcPr>
          <w:p w14:paraId="03993FD3"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822.0876</w:t>
            </w:r>
          </w:p>
        </w:tc>
        <w:tc>
          <w:tcPr>
            <w:tcW w:w="1399" w:type="dxa"/>
            <w:shd w:val="clear" w:color="C0E6F5" w:fill="C0E6F5"/>
            <w:noWrap/>
            <w:vAlign w:val="bottom"/>
            <w:hideMark/>
          </w:tcPr>
          <w:p w14:paraId="2932276B"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2673.2594</w:t>
            </w:r>
          </w:p>
        </w:tc>
      </w:tr>
      <w:tr w:rsidR="00A137AB" w:rsidRPr="00A137AB" w14:paraId="6ABF1B2F" w14:textId="77777777" w:rsidTr="00A137AB">
        <w:trPr>
          <w:trHeight w:val="234"/>
        </w:trPr>
        <w:tc>
          <w:tcPr>
            <w:tcW w:w="2108" w:type="dxa"/>
            <w:shd w:val="clear" w:color="auto" w:fill="auto"/>
            <w:noWrap/>
            <w:vAlign w:val="bottom"/>
            <w:hideMark/>
          </w:tcPr>
          <w:p w14:paraId="33C2EECB"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11004</w:t>
            </w:r>
          </w:p>
        </w:tc>
        <w:tc>
          <w:tcPr>
            <w:tcW w:w="2108" w:type="dxa"/>
            <w:shd w:val="clear" w:color="auto" w:fill="auto"/>
            <w:noWrap/>
            <w:vAlign w:val="bottom"/>
            <w:hideMark/>
          </w:tcPr>
          <w:p w14:paraId="584FB823"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9996877212</w:t>
            </w:r>
          </w:p>
        </w:tc>
        <w:tc>
          <w:tcPr>
            <w:tcW w:w="1837" w:type="dxa"/>
            <w:shd w:val="clear" w:color="auto" w:fill="auto"/>
            <w:noWrap/>
            <w:vAlign w:val="bottom"/>
            <w:hideMark/>
          </w:tcPr>
          <w:p w14:paraId="0558011E"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5</w:t>
            </w:r>
          </w:p>
        </w:tc>
        <w:tc>
          <w:tcPr>
            <w:tcW w:w="1702" w:type="dxa"/>
            <w:shd w:val="clear" w:color="auto" w:fill="auto"/>
            <w:noWrap/>
            <w:vAlign w:val="bottom"/>
            <w:hideMark/>
          </w:tcPr>
          <w:p w14:paraId="1C2F8CAE"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90.4837</w:t>
            </w:r>
          </w:p>
        </w:tc>
        <w:tc>
          <w:tcPr>
            <w:tcW w:w="1399" w:type="dxa"/>
            <w:shd w:val="clear" w:color="auto" w:fill="auto"/>
            <w:noWrap/>
            <w:vAlign w:val="bottom"/>
            <w:hideMark/>
          </w:tcPr>
          <w:p w14:paraId="6734AC33"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540.29</w:t>
            </w:r>
          </w:p>
        </w:tc>
      </w:tr>
      <w:tr w:rsidR="00A137AB" w:rsidRPr="00A137AB" w14:paraId="30C972DC" w14:textId="77777777" w:rsidTr="00A137AB">
        <w:trPr>
          <w:trHeight w:val="234"/>
        </w:trPr>
        <w:tc>
          <w:tcPr>
            <w:tcW w:w="2108" w:type="dxa"/>
            <w:shd w:val="clear" w:color="C0E6F5" w:fill="C0E6F5"/>
            <w:noWrap/>
            <w:vAlign w:val="bottom"/>
            <w:hideMark/>
          </w:tcPr>
          <w:p w14:paraId="4082C12D"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11005</w:t>
            </w:r>
          </w:p>
        </w:tc>
        <w:tc>
          <w:tcPr>
            <w:tcW w:w="2108" w:type="dxa"/>
            <w:shd w:val="clear" w:color="C0E6F5" w:fill="C0E6F5"/>
            <w:noWrap/>
            <w:vAlign w:val="bottom"/>
            <w:hideMark/>
          </w:tcPr>
          <w:p w14:paraId="7339B2C9"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9997118084</w:t>
            </w:r>
          </w:p>
        </w:tc>
        <w:tc>
          <w:tcPr>
            <w:tcW w:w="1837" w:type="dxa"/>
            <w:shd w:val="clear" w:color="C0E6F5" w:fill="C0E6F5"/>
            <w:noWrap/>
            <w:vAlign w:val="bottom"/>
            <w:hideMark/>
          </w:tcPr>
          <w:p w14:paraId="078CC840"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85</w:t>
            </w:r>
          </w:p>
        </w:tc>
        <w:tc>
          <w:tcPr>
            <w:tcW w:w="1702" w:type="dxa"/>
            <w:shd w:val="clear" w:color="C0E6F5" w:fill="C0E6F5"/>
            <w:noWrap/>
            <w:vAlign w:val="bottom"/>
            <w:hideMark/>
          </w:tcPr>
          <w:p w14:paraId="3EEB0336"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1166.3321</w:t>
            </w:r>
          </w:p>
        </w:tc>
        <w:tc>
          <w:tcPr>
            <w:tcW w:w="1399" w:type="dxa"/>
            <w:shd w:val="clear" w:color="C0E6F5" w:fill="C0E6F5"/>
            <w:noWrap/>
            <w:vAlign w:val="bottom"/>
            <w:hideMark/>
          </w:tcPr>
          <w:p w14:paraId="58E6FECA"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r w:rsidRPr="00A137AB">
              <w:rPr>
                <w:rFonts w:ascii="Aptos Narrow" w:eastAsia="Times New Roman" w:hAnsi="Aptos Narrow" w:cs="Times New Roman"/>
                <w:color w:val="104861"/>
                <w:kern w:val="0"/>
                <w:lang w:eastAsia="en-IN"/>
                <w14:ligatures w14:val="none"/>
              </w:rPr>
              <w:t>4281.4</w:t>
            </w:r>
          </w:p>
        </w:tc>
      </w:tr>
      <w:tr w:rsidR="00A137AB" w:rsidRPr="00A137AB" w14:paraId="1519D6ED" w14:textId="77777777" w:rsidTr="00A137AB">
        <w:trPr>
          <w:trHeight w:val="410"/>
        </w:trPr>
        <w:tc>
          <w:tcPr>
            <w:tcW w:w="2108" w:type="dxa"/>
            <w:shd w:val="clear" w:color="auto" w:fill="auto"/>
            <w:noWrap/>
            <w:vAlign w:val="bottom"/>
            <w:hideMark/>
          </w:tcPr>
          <w:p w14:paraId="3B4835D8" w14:textId="77777777" w:rsidR="00A137AB" w:rsidRPr="00A137AB" w:rsidRDefault="00A137AB" w:rsidP="00BA4D80">
            <w:pPr>
              <w:spacing w:after="0" w:line="276" w:lineRule="auto"/>
              <w:jc w:val="right"/>
              <w:rPr>
                <w:rFonts w:ascii="Aptos Narrow" w:eastAsia="Times New Roman" w:hAnsi="Aptos Narrow" w:cs="Times New Roman"/>
                <w:color w:val="104861"/>
                <w:kern w:val="0"/>
                <w:lang w:eastAsia="en-IN"/>
                <w14:ligatures w14:val="none"/>
              </w:rPr>
            </w:pPr>
          </w:p>
        </w:tc>
        <w:tc>
          <w:tcPr>
            <w:tcW w:w="2108" w:type="dxa"/>
            <w:shd w:val="clear" w:color="auto" w:fill="auto"/>
            <w:noWrap/>
            <w:vAlign w:val="center"/>
            <w:hideMark/>
          </w:tcPr>
          <w:p w14:paraId="5C4663BA" w14:textId="77777777" w:rsidR="00A137AB" w:rsidRPr="00A137AB" w:rsidRDefault="00A137AB" w:rsidP="00BA4D80">
            <w:pPr>
              <w:spacing w:after="0" w:line="276" w:lineRule="auto"/>
              <w:jc w:val="center"/>
              <w:rPr>
                <w:rFonts w:ascii="Aptos Narrow" w:eastAsia="Times New Roman" w:hAnsi="Aptos Narrow" w:cs="Times New Roman"/>
                <w:b/>
                <w:bCs/>
                <w:color w:val="104861"/>
                <w:kern w:val="0"/>
                <w:lang w:eastAsia="en-IN"/>
                <w14:ligatures w14:val="none"/>
              </w:rPr>
            </w:pPr>
            <w:r w:rsidRPr="00A137AB">
              <w:rPr>
                <w:rFonts w:ascii="Aptos Narrow" w:eastAsia="Times New Roman" w:hAnsi="Aptos Narrow" w:cs="Times New Roman"/>
                <w:b/>
                <w:bCs/>
                <w:color w:val="104861"/>
                <w:kern w:val="0"/>
                <w:lang w:eastAsia="en-IN"/>
                <w14:ligatures w14:val="none"/>
              </w:rPr>
              <w:t>Total</w:t>
            </w:r>
          </w:p>
        </w:tc>
        <w:tc>
          <w:tcPr>
            <w:tcW w:w="1837" w:type="dxa"/>
            <w:shd w:val="clear" w:color="auto" w:fill="auto"/>
            <w:noWrap/>
            <w:vAlign w:val="center"/>
            <w:hideMark/>
          </w:tcPr>
          <w:p w14:paraId="136CC29F" w14:textId="77777777" w:rsidR="00A137AB" w:rsidRPr="00A137AB" w:rsidRDefault="00A137AB" w:rsidP="00BA4D80">
            <w:pPr>
              <w:spacing w:after="0" w:line="276" w:lineRule="auto"/>
              <w:jc w:val="center"/>
              <w:rPr>
                <w:rFonts w:ascii="Aptos Narrow" w:eastAsia="Times New Roman" w:hAnsi="Aptos Narrow" w:cs="Times New Roman"/>
                <w:b/>
                <w:bCs/>
                <w:color w:val="104861"/>
                <w:kern w:val="0"/>
                <w:lang w:eastAsia="en-IN"/>
                <w14:ligatures w14:val="none"/>
              </w:rPr>
            </w:pPr>
            <w:r w:rsidRPr="00A137AB">
              <w:rPr>
                <w:rFonts w:ascii="Aptos Narrow" w:eastAsia="Times New Roman" w:hAnsi="Aptos Narrow" w:cs="Times New Roman"/>
                <w:b/>
                <w:bCs/>
                <w:color w:val="104861"/>
                <w:kern w:val="0"/>
                <w:lang w:eastAsia="en-IN"/>
                <w14:ligatures w14:val="none"/>
              </w:rPr>
              <w:t>814260</w:t>
            </w:r>
          </w:p>
        </w:tc>
        <w:tc>
          <w:tcPr>
            <w:tcW w:w="1702" w:type="dxa"/>
            <w:shd w:val="clear" w:color="auto" w:fill="auto"/>
            <w:noWrap/>
            <w:vAlign w:val="center"/>
            <w:hideMark/>
          </w:tcPr>
          <w:p w14:paraId="4E72FE64" w14:textId="77777777" w:rsidR="00A137AB" w:rsidRPr="00A137AB" w:rsidRDefault="00A137AB" w:rsidP="00BA4D80">
            <w:pPr>
              <w:spacing w:after="0" w:line="276" w:lineRule="auto"/>
              <w:jc w:val="center"/>
              <w:rPr>
                <w:rFonts w:ascii="Aptos Narrow" w:eastAsia="Times New Roman" w:hAnsi="Aptos Narrow" w:cs="Times New Roman"/>
                <w:b/>
                <w:bCs/>
                <w:color w:val="104861"/>
                <w:kern w:val="0"/>
                <w:lang w:eastAsia="en-IN"/>
                <w14:ligatures w14:val="none"/>
              </w:rPr>
            </w:pPr>
            <w:r w:rsidRPr="00A137AB">
              <w:rPr>
                <w:rFonts w:ascii="Aptos Narrow" w:eastAsia="Times New Roman" w:hAnsi="Aptos Narrow" w:cs="Times New Roman"/>
                <w:b/>
                <w:bCs/>
                <w:color w:val="104861"/>
                <w:kern w:val="0"/>
                <w:lang w:eastAsia="en-IN"/>
                <w14:ligatures w14:val="none"/>
              </w:rPr>
              <w:t>11517428.25</w:t>
            </w:r>
          </w:p>
        </w:tc>
        <w:tc>
          <w:tcPr>
            <w:tcW w:w="1399" w:type="dxa"/>
            <w:shd w:val="clear" w:color="auto" w:fill="auto"/>
            <w:noWrap/>
            <w:vAlign w:val="center"/>
            <w:hideMark/>
          </w:tcPr>
          <w:p w14:paraId="2C9617BF" w14:textId="77777777" w:rsidR="00A137AB" w:rsidRPr="00A137AB" w:rsidRDefault="00A137AB" w:rsidP="00BA4D80">
            <w:pPr>
              <w:spacing w:after="0" w:line="276" w:lineRule="auto"/>
              <w:jc w:val="center"/>
              <w:rPr>
                <w:rFonts w:ascii="Aptos Narrow" w:eastAsia="Times New Roman" w:hAnsi="Aptos Narrow" w:cs="Times New Roman"/>
                <w:b/>
                <w:bCs/>
                <w:color w:val="104861"/>
                <w:kern w:val="0"/>
                <w:lang w:eastAsia="en-IN"/>
                <w14:ligatures w14:val="none"/>
              </w:rPr>
            </w:pPr>
            <w:r w:rsidRPr="00A137AB">
              <w:rPr>
                <w:rFonts w:ascii="Aptos Narrow" w:eastAsia="Times New Roman" w:hAnsi="Aptos Narrow" w:cs="Times New Roman"/>
                <w:b/>
                <w:bCs/>
                <w:color w:val="104861"/>
                <w:kern w:val="0"/>
                <w:lang w:eastAsia="en-IN"/>
                <w14:ligatures w14:val="none"/>
              </w:rPr>
              <w:t>47633829.11</w:t>
            </w:r>
          </w:p>
        </w:tc>
      </w:tr>
    </w:tbl>
    <w:p w14:paraId="25E0A86F" w14:textId="77777777" w:rsidR="005F0A4E" w:rsidRPr="009115B2" w:rsidRDefault="005F0A4E" w:rsidP="00BA4D80">
      <w:pPr>
        <w:spacing w:line="276" w:lineRule="auto"/>
      </w:pPr>
    </w:p>
    <w:p w14:paraId="44BFE666" w14:textId="784A9D9D" w:rsidR="005F0A4E" w:rsidRPr="009115B2" w:rsidRDefault="009115B2" w:rsidP="00BA4D80">
      <w:pPr>
        <w:spacing w:line="276" w:lineRule="auto"/>
      </w:pPr>
      <w:r w:rsidRPr="009115B2">
        <w:t xml:space="preserve">The output above, reveals the first and last ten entries of subset of </w:t>
      </w:r>
      <w:r w:rsidRPr="009115B2">
        <w:rPr>
          <w:b/>
          <w:bCs/>
        </w:rPr>
        <w:t>11,005 regular customers</w:t>
      </w:r>
      <w:r w:rsidRPr="009115B2">
        <w:t xml:space="preserve"> who shopped at the supermarket consistently across the years 2013, 2014, and 2015. The data reveals significant variations in customer engagement levels. For instance, Customer ID 299827 visited the supermarket 133 times in 2014, purchasing items worth a total of $6,599.91. This indicates a high level of engagement and loyalty. On the other end of the spectrum, Customer ID 5316222 made just one trip, spending a mere $32.69.</w:t>
      </w:r>
    </w:p>
    <w:p w14:paraId="77D29592" w14:textId="7B3AF69E" w:rsidR="009115B2" w:rsidRDefault="009115B2" w:rsidP="00BA4D80">
      <w:pPr>
        <w:spacing w:line="276" w:lineRule="auto"/>
      </w:pPr>
      <w:r w:rsidRPr="009115B2">
        <w:t xml:space="preserve">Across all regular customers in 2014, there were </w:t>
      </w:r>
      <w:r w:rsidRPr="007E06ED">
        <w:rPr>
          <w:b/>
          <w:bCs/>
        </w:rPr>
        <w:t>814,260 trips</w:t>
      </w:r>
      <w:r w:rsidRPr="009115B2">
        <w:t xml:space="preserve"> to the supermarket, resulting in </w:t>
      </w:r>
      <w:r w:rsidRPr="007E06ED">
        <w:rPr>
          <w:b/>
          <w:bCs/>
        </w:rPr>
        <w:t>purchases of approximately 11,517,428</w:t>
      </w:r>
      <w:r w:rsidRPr="009115B2">
        <w:t xml:space="preserve"> items, and total </w:t>
      </w:r>
      <w:r w:rsidRPr="0058342C">
        <w:rPr>
          <w:b/>
          <w:bCs/>
        </w:rPr>
        <w:t xml:space="preserve">spending was around $47,633,829. </w:t>
      </w:r>
      <w:r w:rsidRPr="009115B2">
        <w:t>This underscores the substantial impact regular customers have on the supermarket's overall performance.</w:t>
      </w:r>
    </w:p>
    <w:p w14:paraId="3FD87B54" w14:textId="35706E5B" w:rsidR="00BA4D80" w:rsidRDefault="00BA4D80" w:rsidP="00BA4D80">
      <w:pPr>
        <w:spacing w:line="276" w:lineRule="auto"/>
      </w:pPr>
    </w:p>
    <w:p w14:paraId="72105F9E" w14:textId="1E0E2FD4" w:rsidR="00BA4D80" w:rsidRDefault="00BA4D80" w:rsidP="00BA4D80">
      <w:pPr>
        <w:spacing w:line="276" w:lineRule="auto"/>
      </w:pPr>
    </w:p>
    <w:p w14:paraId="0BE5C962" w14:textId="2A35930A" w:rsidR="00982087" w:rsidRDefault="00982087" w:rsidP="00BA4D80">
      <w:pPr>
        <w:spacing w:line="276" w:lineRule="auto"/>
      </w:pPr>
    </w:p>
    <w:p w14:paraId="01381650" w14:textId="4C05A772" w:rsidR="00982087" w:rsidRDefault="00982087" w:rsidP="00BA4D80">
      <w:pPr>
        <w:spacing w:line="276" w:lineRule="auto"/>
      </w:pPr>
    </w:p>
    <w:p w14:paraId="63500383" w14:textId="77777777" w:rsidR="00982087" w:rsidRDefault="00982087" w:rsidP="00BA4D80">
      <w:pPr>
        <w:spacing w:line="276" w:lineRule="auto"/>
      </w:pPr>
    </w:p>
    <w:p w14:paraId="15150B05" w14:textId="20140C3D" w:rsidR="00982087" w:rsidRDefault="00BA4D80" w:rsidP="00BA4D80">
      <w:pPr>
        <w:spacing w:line="276" w:lineRule="auto"/>
      </w:pPr>
      <w:r>
        <w:rPr>
          <w:noProof/>
        </w:rPr>
        <w:lastRenderedPageBreak/>
        <w:drawing>
          <wp:anchor distT="0" distB="0" distL="114300" distR="114300" simplePos="0" relativeHeight="251628544" behindDoc="0" locked="0" layoutInCell="1" allowOverlap="1" wp14:anchorId="2D1AB948" wp14:editId="7AD3258C">
            <wp:simplePos x="0" y="0"/>
            <wp:positionH relativeFrom="column">
              <wp:posOffset>15875</wp:posOffset>
            </wp:positionH>
            <wp:positionV relativeFrom="paragraph">
              <wp:posOffset>-466005</wp:posOffset>
            </wp:positionV>
            <wp:extent cx="5731510" cy="3496945"/>
            <wp:effectExtent l="19050" t="19050" r="2540" b="8255"/>
            <wp:wrapNone/>
            <wp:docPr id="962550750"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50750" name="Picture 1" descr="A pie chart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496945"/>
                    </a:xfrm>
                    <a:prstGeom prst="rect">
                      <a:avLst/>
                    </a:prstGeom>
                    <a:ln>
                      <a:solidFill>
                        <a:schemeClr val="bg2">
                          <a:lumMod val="75000"/>
                        </a:schemeClr>
                      </a:solidFill>
                    </a:ln>
                  </pic:spPr>
                </pic:pic>
              </a:graphicData>
            </a:graphic>
          </wp:anchor>
        </w:drawing>
      </w:r>
    </w:p>
    <w:p w14:paraId="39471DB4" w14:textId="77777777" w:rsidR="00982087" w:rsidRDefault="00982087" w:rsidP="00BA4D80">
      <w:pPr>
        <w:spacing w:line="276" w:lineRule="auto"/>
      </w:pPr>
    </w:p>
    <w:p w14:paraId="7DE7778F" w14:textId="77777777" w:rsidR="00982087" w:rsidRDefault="00982087" w:rsidP="00BA4D80">
      <w:pPr>
        <w:spacing w:line="276" w:lineRule="auto"/>
      </w:pPr>
    </w:p>
    <w:p w14:paraId="19AE0CD9" w14:textId="77777777" w:rsidR="00982087" w:rsidRDefault="00982087" w:rsidP="00BA4D80">
      <w:pPr>
        <w:spacing w:line="276" w:lineRule="auto"/>
      </w:pPr>
    </w:p>
    <w:p w14:paraId="4FF16E7F" w14:textId="77777777" w:rsidR="00982087" w:rsidRDefault="00982087" w:rsidP="00BA4D80">
      <w:pPr>
        <w:spacing w:line="276" w:lineRule="auto"/>
      </w:pPr>
    </w:p>
    <w:p w14:paraId="46F237FB" w14:textId="77777777" w:rsidR="00982087" w:rsidRDefault="00982087" w:rsidP="00BA4D80">
      <w:pPr>
        <w:spacing w:line="276" w:lineRule="auto"/>
      </w:pPr>
    </w:p>
    <w:p w14:paraId="0C4D8567" w14:textId="77777777" w:rsidR="00982087" w:rsidRDefault="00982087" w:rsidP="00BA4D80">
      <w:pPr>
        <w:spacing w:line="276" w:lineRule="auto"/>
      </w:pPr>
    </w:p>
    <w:p w14:paraId="428D1253" w14:textId="77777777" w:rsidR="00982087" w:rsidRDefault="00982087" w:rsidP="00BA4D80">
      <w:pPr>
        <w:spacing w:line="276" w:lineRule="auto"/>
      </w:pPr>
    </w:p>
    <w:p w14:paraId="0BC96BFB" w14:textId="77777777" w:rsidR="00982087" w:rsidRDefault="00982087" w:rsidP="00BA4D80">
      <w:pPr>
        <w:spacing w:line="276" w:lineRule="auto"/>
      </w:pPr>
    </w:p>
    <w:p w14:paraId="3E03FCFB" w14:textId="77777777" w:rsidR="00982087" w:rsidRDefault="00982087" w:rsidP="00BA4D80">
      <w:pPr>
        <w:spacing w:line="276" w:lineRule="auto"/>
      </w:pPr>
    </w:p>
    <w:p w14:paraId="20A14A33" w14:textId="77777777" w:rsidR="00982087" w:rsidRDefault="00982087" w:rsidP="00BA4D80">
      <w:pPr>
        <w:spacing w:line="276" w:lineRule="auto"/>
      </w:pPr>
    </w:p>
    <w:p w14:paraId="5F784204" w14:textId="687DB778" w:rsidR="00982087" w:rsidRDefault="00982087" w:rsidP="00BA4D80">
      <w:pPr>
        <w:spacing w:line="276" w:lineRule="auto"/>
        <w:jc w:val="both"/>
      </w:pPr>
      <w:r>
        <w:t>The donut chart above gives the insights of proportion percentages of different departments.</w:t>
      </w:r>
    </w:p>
    <w:p w14:paraId="35CB7207" w14:textId="77777777" w:rsidR="00982087" w:rsidRDefault="00982087" w:rsidP="00BA4D80">
      <w:pPr>
        <w:pStyle w:val="ListParagraph"/>
        <w:numPr>
          <w:ilvl w:val="0"/>
          <w:numId w:val="5"/>
        </w:numPr>
        <w:spacing w:line="276" w:lineRule="auto"/>
        <w:jc w:val="both"/>
      </w:pPr>
      <w:r>
        <w:t>In an analysis of departmental sales within the supermarket, it is apparent that the Grocery department is preeminent, commanding 47.55% of total purchases, thereby affirming its critical role in driving the supermarket's revenue and serving as a primary shopping destination. Close behind is the Fruit &amp; Veg department, which garners 16.03% of purchases, reflecting a consumer preference for fresh produce and highlighting its significance in attracting consistent shopper traffic. The Dairy department also shows strong performance with 12.29% of sales, indicating sustained consumer demand for dairy products.</w:t>
      </w:r>
    </w:p>
    <w:p w14:paraId="58E25148" w14:textId="77777777" w:rsidR="00982087" w:rsidRDefault="00982087" w:rsidP="00BA4D80">
      <w:pPr>
        <w:spacing w:line="276" w:lineRule="auto"/>
        <w:jc w:val="both"/>
      </w:pPr>
    </w:p>
    <w:p w14:paraId="7D550FB8" w14:textId="77777777" w:rsidR="00982087" w:rsidRDefault="00982087" w:rsidP="00BA4D80">
      <w:pPr>
        <w:pStyle w:val="ListParagraph"/>
        <w:numPr>
          <w:ilvl w:val="0"/>
          <w:numId w:val="5"/>
        </w:numPr>
        <w:spacing w:line="276" w:lineRule="auto"/>
        <w:jc w:val="both"/>
      </w:pPr>
      <w:r>
        <w:t>The Bakery department, with a 7.38% share of sales, suggests a reliable demand for its offerings. The Fresh Meat department, holding a smaller yet substantial 4.40% of the sales, signifies its lesser prominence relative to other food categories. Departments such as Variety and Frozen, with respective shares of 4.28% and 3.76%, cater to niche markets but are notable contributors to the overall sales mix.</w:t>
      </w:r>
    </w:p>
    <w:p w14:paraId="4348FA82" w14:textId="77777777" w:rsidR="00982087" w:rsidRDefault="00982087" w:rsidP="00BA4D80">
      <w:pPr>
        <w:spacing w:line="276" w:lineRule="auto"/>
        <w:jc w:val="both"/>
      </w:pPr>
    </w:p>
    <w:p w14:paraId="6C159230" w14:textId="61BF2005" w:rsidR="00982087" w:rsidRDefault="00982087" w:rsidP="00BA4D80">
      <w:pPr>
        <w:pStyle w:val="ListParagraph"/>
        <w:numPr>
          <w:ilvl w:val="0"/>
          <w:numId w:val="5"/>
        </w:numPr>
        <w:spacing w:line="276" w:lineRule="auto"/>
        <w:jc w:val="both"/>
      </w:pPr>
      <w:r>
        <w:t>The Deli, with a 2.35% sales proportion, points to a specialized demand among the supermarket's clientele. Meanwhile, Seafood and Poultry, at 1.29%, indicates a more selective customer base. The Tobacco department, accounting for the smallest slice at 0.66%, is suggestive of the least frequent purchases, which may be influenced by factors such as public health awareness and pricing strategies.</w:t>
      </w:r>
    </w:p>
    <w:p w14:paraId="6D6B34CC" w14:textId="77777777" w:rsidR="00B80CAF" w:rsidRDefault="00B80CAF" w:rsidP="00BA4D80">
      <w:pPr>
        <w:pStyle w:val="ListParagraph"/>
        <w:spacing w:line="276" w:lineRule="auto"/>
      </w:pPr>
    </w:p>
    <w:p w14:paraId="1DC169D3" w14:textId="77777777" w:rsidR="00BA4D80" w:rsidRDefault="00BA4D80" w:rsidP="00BA4D80">
      <w:pPr>
        <w:pStyle w:val="ListParagraph"/>
        <w:spacing w:line="276" w:lineRule="auto"/>
      </w:pPr>
    </w:p>
    <w:p w14:paraId="0D0B5AEA" w14:textId="77777777" w:rsidR="00BA4D80" w:rsidRDefault="00BA4D80" w:rsidP="00BA4D80">
      <w:pPr>
        <w:pStyle w:val="ListParagraph"/>
        <w:spacing w:line="276" w:lineRule="auto"/>
      </w:pPr>
    </w:p>
    <w:p w14:paraId="57326D20" w14:textId="77777777" w:rsidR="00BA4D80" w:rsidRDefault="00BA4D80" w:rsidP="00BA4D80">
      <w:pPr>
        <w:pStyle w:val="ListParagraph"/>
        <w:spacing w:line="276" w:lineRule="auto"/>
      </w:pPr>
    </w:p>
    <w:p w14:paraId="1D374BFF" w14:textId="2224C281" w:rsidR="00B80CAF" w:rsidRDefault="00B80CAF" w:rsidP="00BA4D80">
      <w:pPr>
        <w:spacing w:line="276" w:lineRule="auto"/>
        <w:jc w:val="both"/>
        <w:rPr>
          <w:b/>
          <w:bCs/>
        </w:rPr>
      </w:pPr>
      <w:r w:rsidRPr="00B80CAF">
        <w:rPr>
          <w:b/>
          <w:bCs/>
        </w:rPr>
        <w:lastRenderedPageBreak/>
        <w:t>Cluster Analysis</w:t>
      </w:r>
    </w:p>
    <w:p w14:paraId="72D9DB29" w14:textId="77777777" w:rsidR="00B80CAF" w:rsidRDefault="00B80CAF" w:rsidP="00BA4D80">
      <w:pPr>
        <w:spacing w:line="276" w:lineRule="auto"/>
        <w:jc w:val="both"/>
        <w:rPr>
          <w:b/>
          <w:bCs/>
        </w:rPr>
      </w:pPr>
    </w:p>
    <w:p w14:paraId="7E1CC6DC" w14:textId="092D867D" w:rsidR="009134AD" w:rsidRDefault="009134AD" w:rsidP="00BA4D80">
      <w:pPr>
        <w:spacing w:line="276" w:lineRule="auto"/>
        <w:jc w:val="both"/>
        <w:rPr>
          <w:b/>
          <w:bCs/>
        </w:rPr>
      </w:pPr>
      <w:r>
        <w:rPr>
          <w:b/>
          <w:bCs/>
          <w:noProof/>
        </w:rPr>
        <w:drawing>
          <wp:anchor distT="0" distB="0" distL="114300" distR="114300" simplePos="0" relativeHeight="251634688" behindDoc="0" locked="0" layoutInCell="1" allowOverlap="1" wp14:anchorId="2ECA9D0D" wp14:editId="1DBDFF42">
            <wp:simplePos x="0" y="0"/>
            <wp:positionH relativeFrom="column">
              <wp:posOffset>416311</wp:posOffset>
            </wp:positionH>
            <wp:positionV relativeFrom="paragraph">
              <wp:posOffset>26421</wp:posOffset>
            </wp:positionV>
            <wp:extent cx="4905375" cy="3676015"/>
            <wp:effectExtent l="19050" t="19050" r="0" b="635"/>
            <wp:wrapNone/>
            <wp:docPr id="1159400832" name="Picture 3" descr="A pie chart with numbers and a number of data points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00832" name="Picture 3" descr="A pie chart with numbers and a number of data points with Crust in the background&#10;&#10;Description automatically generated"/>
                    <pic:cNvPicPr/>
                  </pic:nvPicPr>
                  <pic:blipFill rotWithShape="1">
                    <a:blip r:embed="rId9">
                      <a:extLst>
                        <a:ext uri="{28A0092B-C50C-407E-A947-70E740481C1C}">
                          <a14:useLocalDpi xmlns:a14="http://schemas.microsoft.com/office/drawing/2010/main" val="0"/>
                        </a:ext>
                      </a:extLst>
                    </a:blip>
                    <a:srcRect t="6093"/>
                    <a:stretch/>
                  </pic:blipFill>
                  <pic:spPr bwMode="auto">
                    <a:xfrm>
                      <a:off x="0" y="0"/>
                      <a:ext cx="4905375" cy="3676015"/>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anchor>
        </w:drawing>
      </w:r>
    </w:p>
    <w:p w14:paraId="4906FAA2" w14:textId="79706A83" w:rsidR="009134AD" w:rsidRDefault="009134AD" w:rsidP="00BA4D80">
      <w:pPr>
        <w:spacing w:line="276" w:lineRule="auto"/>
        <w:jc w:val="both"/>
        <w:rPr>
          <w:b/>
          <w:bCs/>
        </w:rPr>
      </w:pPr>
    </w:p>
    <w:p w14:paraId="7C8D2C30" w14:textId="565950A6" w:rsidR="009134AD" w:rsidRDefault="009134AD" w:rsidP="00BA4D80">
      <w:pPr>
        <w:spacing w:line="276" w:lineRule="auto"/>
        <w:jc w:val="both"/>
        <w:rPr>
          <w:b/>
          <w:bCs/>
        </w:rPr>
      </w:pPr>
    </w:p>
    <w:p w14:paraId="460F8130" w14:textId="77777777" w:rsidR="009134AD" w:rsidRDefault="009134AD" w:rsidP="00BA4D80">
      <w:pPr>
        <w:spacing w:line="276" w:lineRule="auto"/>
        <w:jc w:val="both"/>
        <w:rPr>
          <w:b/>
          <w:bCs/>
        </w:rPr>
      </w:pPr>
    </w:p>
    <w:p w14:paraId="1FD7CD0B" w14:textId="4752E1A8" w:rsidR="009134AD" w:rsidRDefault="009134AD" w:rsidP="00BA4D80">
      <w:pPr>
        <w:spacing w:line="276" w:lineRule="auto"/>
        <w:jc w:val="both"/>
        <w:rPr>
          <w:b/>
          <w:bCs/>
        </w:rPr>
      </w:pPr>
    </w:p>
    <w:p w14:paraId="585106BD" w14:textId="032A4F36" w:rsidR="009134AD" w:rsidRDefault="009134AD" w:rsidP="00BA4D80">
      <w:pPr>
        <w:spacing w:line="276" w:lineRule="auto"/>
        <w:jc w:val="both"/>
        <w:rPr>
          <w:b/>
          <w:bCs/>
        </w:rPr>
      </w:pPr>
    </w:p>
    <w:p w14:paraId="388353DB" w14:textId="615206BA" w:rsidR="009134AD" w:rsidRDefault="009134AD" w:rsidP="00BA4D80">
      <w:pPr>
        <w:spacing w:line="276" w:lineRule="auto"/>
        <w:jc w:val="both"/>
        <w:rPr>
          <w:b/>
          <w:bCs/>
        </w:rPr>
      </w:pPr>
    </w:p>
    <w:p w14:paraId="7EEEED76" w14:textId="08F62268" w:rsidR="009134AD" w:rsidRDefault="009134AD" w:rsidP="00BA4D80">
      <w:pPr>
        <w:spacing w:line="276" w:lineRule="auto"/>
        <w:jc w:val="both"/>
        <w:rPr>
          <w:b/>
          <w:bCs/>
        </w:rPr>
      </w:pPr>
    </w:p>
    <w:p w14:paraId="63C057DE" w14:textId="5526B927" w:rsidR="009134AD" w:rsidRDefault="009134AD" w:rsidP="00BA4D80">
      <w:pPr>
        <w:spacing w:line="276" w:lineRule="auto"/>
        <w:jc w:val="both"/>
        <w:rPr>
          <w:b/>
          <w:bCs/>
        </w:rPr>
      </w:pPr>
    </w:p>
    <w:p w14:paraId="13D225B1" w14:textId="387B08AB" w:rsidR="009134AD" w:rsidRDefault="009134AD" w:rsidP="00BA4D80">
      <w:pPr>
        <w:spacing w:line="276" w:lineRule="auto"/>
        <w:jc w:val="both"/>
        <w:rPr>
          <w:b/>
          <w:bCs/>
        </w:rPr>
      </w:pPr>
    </w:p>
    <w:p w14:paraId="1A2AD1BC" w14:textId="53CBD7DD" w:rsidR="009134AD" w:rsidRDefault="009134AD" w:rsidP="00BA4D80">
      <w:pPr>
        <w:spacing w:line="276" w:lineRule="auto"/>
        <w:jc w:val="both"/>
        <w:rPr>
          <w:b/>
          <w:bCs/>
        </w:rPr>
      </w:pPr>
    </w:p>
    <w:p w14:paraId="256F66E8" w14:textId="77777777" w:rsidR="009134AD" w:rsidRDefault="009134AD" w:rsidP="00BA4D80">
      <w:pPr>
        <w:spacing w:line="276" w:lineRule="auto"/>
        <w:jc w:val="both"/>
        <w:rPr>
          <w:b/>
          <w:bCs/>
        </w:rPr>
      </w:pPr>
    </w:p>
    <w:p w14:paraId="48EA7AB1" w14:textId="3D5DACB6" w:rsidR="009134AD" w:rsidRDefault="009134AD" w:rsidP="00BA4D80">
      <w:pPr>
        <w:spacing w:line="276" w:lineRule="auto"/>
        <w:jc w:val="both"/>
        <w:rPr>
          <w:b/>
          <w:bCs/>
        </w:rPr>
      </w:pPr>
    </w:p>
    <w:p w14:paraId="354A040A" w14:textId="2DB83A7F" w:rsidR="009134AD" w:rsidRDefault="009134AD" w:rsidP="00BA4D80">
      <w:pPr>
        <w:spacing w:line="276" w:lineRule="auto"/>
        <w:jc w:val="both"/>
        <w:rPr>
          <w:b/>
          <w:bCs/>
        </w:rPr>
      </w:pPr>
    </w:p>
    <w:p w14:paraId="096B6352" w14:textId="1A5DC9C6" w:rsidR="009134AD" w:rsidRPr="002A25F1" w:rsidRDefault="002A25F1" w:rsidP="00BA4D80">
      <w:pPr>
        <w:spacing w:line="276" w:lineRule="auto"/>
        <w:jc w:val="both"/>
      </w:pPr>
      <w:r w:rsidRPr="002A25F1">
        <w:t>The provided pie chart illustrates the distribution of customer segments based on a cluster analysis, which grouped customers according to their number of trips to the supermarket</w:t>
      </w:r>
      <w:r>
        <w:t xml:space="preserve"> and money spent</w:t>
      </w:r>
      <w:r w:rsidRPr="002A25F1">
        <w:t>.</w:t>
      </w:r>
    </w:p>
    <w:p w14:paraId="336542DD" w14:textId="11ADC8A4" w:rsidR="009134AD" w:rsidRPr="009134AD" w:rsidRDefault="009134AD" w:rsidP="00BA4D80">
      <w:pPr>
        <w:spacing w:line="276" w:lineRule="auto"/>
        <w:jc w:val="both"/>
        <w:rPr>
          <w:lang w:eastAsia="en-IN"/>
        </w:rPr>
      </w:pPr>
      <w:r w:rsidRPr="009134AD">
        <w:rPr>
          <w:lang w:eastAsia="en-IN"/>
        </w:rPr>
        <w:t>Cluster 0</w:t>
      </w:r>
      <w:r w:rsidRPr="009134AD">
        <w:t xml:space="preserve"> which is represented by colour green </w:t>
      </w:r>
      <w:r w:rsidRPr="009134AD">
        <w:rPr>
          <w:lang w:eastAsia="en-IN"/>
        </w:rPr>
        <w:t>comprising 10% of the dataset, may represent customers with a high number of trips and high expenditure, which could be indicative of highly engaged and possibly more affluent customers.</w:t>
      </w:r>
    </w:p>
    <w:p w14:paraId="349C154E" w14:textId="6FE571B4" w:rsidR="009134AD" w:rsidRPr="009134AD" w:rsidRDefault="009134AD" w:rsidP="00BA4D80">
      <w:pPr>
        <w:spacing w:line="276" w:lineRule="auto"/>
        <w:jc w:val="both"/>
      </w:pPr>
      <w:r w:rsidRPr="009134AD">
        <w:t>Cluster 2, in orange, accounts for a significant 37.7% of the dataset and represents what might be considered the core customer bas</w:t>
      </w:r>
      <w:r w:rsidR="002A25F1">
        <w:t xml:space="preserve">e </w:t>
      </w:r>
      <w:r w:rsidRPr="009134AD">
        <w:t>those who shop with moderate frequency and have average-sized transactions.</w:t>
      </w:r>
    </w:p>
    <w:p w14:paraId="2EE15DB8" w14:textId="122752A1" w:rsidR="009134AD" w:rsidRDefault="009134AD" w:rsidP="00BA4D80">
      <w:pPr>
        <w:spacing w:line="276" w:lineRule="auto"/>
        <w:jc w:val="both"/>
      </w:pPr>
      <w:r w:rsidRPr="009134AD">
        <w:t xml:space="preserve">The largest segment, Cluster 3, is indicated in blue and makes up 44% of the data, likely composed of customers who visit the supermarket regularly but spend less per visit, which could be reflective of budget-conscious individuals or smaller households. Lastly, Cluster 4, marked in </w:t>
      </w:r>
      <w:r>
        <w:t>red</w:t>
      </w:r>
      <w:r w:rsidRPr="009134AD">
        <w:t xml:space="preserve"> and making up 8.2% of the dataset, could indicate a less common shopping behaviour, such as customers who make seasonal visits</w:t>
      </w:r>
      <w:r>
        <w:rPr>
          <w:rFonts w:ascii="Segoe UI" w:hAnsi="Segoe UI" w:cs="Segoe UI"/>
          <w:color w:val="0D0D0D"/>
          <w:shd w:val="clear" w:color="auto" w:fill="FFFFFF"/>
        </w:rPr>
        <w:t xml:space="preserve"> </w:t>
      </w:r>
      <w:r w:rsidRPr="009134AD">
        <w:t>or prefer to purchase in bulk.</w:t>
      </w:r>
    </w:p>
    <w:p w14:paraId="63CF8F9A" w14:textId="085076A7" w:rsidR="009134AD" w:rsidRDefault="009134AD" w:rsidP="00BA4D80">
      <w:pPr>
        <w:spacing w:line="276" w:lineRule="auto"/>
      </w:pPr>
      <w:r>
        <w:t>We can also see the cluster 1 which is contributing 0.0 % that means there is an outlier in the data which can be ignored in this analysis.</w:t>
      </w:r>
    </w:p>
    <w:p w14:paraId="3530FCD7" w14:textId="0EED7558" w:rsidR="008E0FDD" w:rsidRPr="00BA4D80" w:rsidRDefault="008E0FDD" w:rsidP="00BA4D80">
      <w:pPr>
        <w:pStyle w:val="Heading1"/>
        <w:rPr>
          <w:b/>
          <w:bCs/>
        </w:rPr>
      </w:pPr>
      <w:bookmarkStart w:id="5" w:name="_Toc164635652"/>
      <w:r w:rsidRPr="00BA4D80">
        <w:rPr>
          <w:b/>
          <w:bCs/>
        </w:rPr>
        <w:lastRenderedPageBreak/>
        <w:t>Qu</w:t>
      </w:r>
      <w:r w:rsidR="00BA4D80">
        <w:rPr>
          <w:b/>
          <w:bCs/>
        </w:rPr>
        <w:t>estion 2</w:t>
      </w:r>
      <w:bookmarkEnd w:id="5"/>
    </w:p>
    <w:p w14:paraId="1995C13F" w14:textId="77777777" w:rsidR="008E0FDD" w:rsidRDefault="008E0FDD" w:rsidP="00BA4D80">
      <w:pPr>
        <w:spacing w:line="276" w:lineRule="auto"/>
      </w:pPr>
    </w:p>
    <w:p w14:paraId="65076AFC" w14:textId="77777777" w:rsidR="008E0FDD" w:rsidRDefault="008E0FDD" w:rsidP="00BA4D80">
      <w:pPr>
        <w:spacing w:line="276" w:lineRule="auto"/>
      </w:pPr>
    </w:p>
    <w:p w14:paraId="2683EA02" w14:textId="1538B6BC" w:rsidR="00464DF1" w:rsidRDefault="008E0FDD" w:rsidP="00BA4D80">
      <w:pPr>
        <w:spacing w:line="276" w:lineRule="auto"/>
        <w:rPr>
          <w:b/>
          <w:bCs/>
        </w:rPr>
      </w:pPr>
      <w:r>
        <w:rPr>
          <w:b/>
          <w:bCs/>
          <w:noProof/>
        </w:rPr>
        <w:drawing>
          <wp:anchor distT="0" distB="0" distL="114300" distR="114300" simplePos="0" relativeHeight="251642880" behindDoc="0" locked="0" layoutInCell="1" allowOverlap="1" wp14:anchorId="55972CC2" wp14:editId="660D2E8E">
            <wp:simplePos x="0" y="0"/>
            <wp:positionH relativeFrom="column">
              <wp:posOffset>264710</wp:posOffset>
            </wp:positionH>
            <wp:positionV relativeFrom="paragraph">
              <wp:posOffset>109874</wp:posOffset>
            </wp:positionV>
            <wp:extent cx="5221690" cy="3478041"/>
            <wp:effectExtent l="19050" t="19050" r="0" b="8255"/>
            <wp:wrapNone/>
            <wp:docPr id="691076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76690" name="Picture 691076690"/>
                    <pic:cNvPicPr/>
                  </pic:nvPicPr>
                  <pic:blipFill>
                    <a:blip r:embed="rId10">
                      <a:extLst>
                        <a:ext uri="{28A0092B-C50C-407E-A947-70E740481C1C}">
                          <a14:useLocalDpi xmlns:a14="http://schemas.microsoft.com/office/drawing/2010/main" val="0"/>
                        </a:ext>
                      </a:extLst>
                    </a:blip>
                    <a:stretch>
                      <a:fillRect/>
                    </a:stretch>
                  </pic:blipFill>
                  <pic:spPr>
                    <a:xfrm>
                      <a:off x="0" y="0"/>
                      <a:ext cx="5221690" cy="3478041"/>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p>
    <w:p w14:paraId="714DF1D8" w14:textId="761C0D02" w:rsidR="00B80CAF" w:rsidRDefault="00B80CAF" w:rsidP="00BA4D80">
      <w:pPr>
        <w:spacing w:line="276" w:lineRule="auto"/>
        <w:jc w:val="both"/>
        <w:rPr>
          <w:b/>
          <w:bCs/>
        </w:rPr>
      </w:pPr>
    </w:p>
    <w:p w14:paraId="3D85B0B1" w14:textId="0747F2EA" w:rsidR="00464DF1" w:rsidRDefault="00464DF1" w:rsidP="00BA4D80">
      <w:pPr>
        <w:spacing w:line="276" w:lineRule="auto"/>
        <w:jc w:val="both"/>
        <w:rPr>
          <w:b/>
          <w:bCs/>
        </w:rPr>
      </w:pPr>
    </w:p>
    <w:p w14:paraId="1ED565CA" w14:textId="77777777" w:rsidR="00464DF1" w:rsidRDefault="00464DF1" w:rsidP="00BA4D80">
      <w:pPr>
        <w:spacing w:line="276" w:lineRule="auto"/>
        <w:jc w:val="both"/>
        <w:rPr>
          <w:b/>
          <w:bCs/>
        </w:rPr>
      </w:pPr>
    </w:p>
    <w:p w14:paraId="7B23BBA3" w14:textId="77777777" w:rsidR="00464DF1" w:rsidRDefault="00464DF1" w:rsidP="00BA4D80">
      <w:pPr>
        <w:spacing w:line="276" w:lineRule="auto"/>
        <w:jc w:val="both"/>
        <w:rPr>
          <w:b/>
          <w:bCs/>
        </w:rPr>
      </w:pPr>
    </w:p>
    <w:p w14:paraId="1911DCDD" w14:textId="77777777" w:rsidR="00464DF1" w:rsidRDefault="00464DF1" w:rsidP="00BA4D80">
      <w:pPr>
        <w:spacing w:line="276" w:lineRule="auto"/>
        <w:jc w:val="both"/>
        <w:rPr>
          <w:b/>
          <w:bCs/>
        </w:rPr>
      </w:pPr>
    </w:p>
    <w:p w14:paraId="4DFE28B4" w14:textId="77777777" w:rsidR="00464DF1" w:rsidRDefault="00464DF1" w:rsidP="00BA4D80">
      <w:pPr>
        <w:spacing w:line="276" w:lineRule="auto"/>
        <w:jc w:val="both"/>
        <w:rPr>
          <w:b/>
          <w:bCs/>
        </w:rPr>
      </w:pPr>
    </w:p>
    <w:p w14:paraId="1C6FFB87" w14:textId="77777777" w:rsidR="00464DF1" w:rsidRDefault="00464DF1" w:rsidP="00BA4D80">
      <w:pPr>
        <w:spacing w:line="276" w:lineRule="auto"/>
        <w:jc w:val="both"/>
        <w:rPr>
          <w:b/>
          <w:bCs/>
        </w:rPr>
      </w:pPr>
    </w:p>
    <w:p w14:paraId="20135891" w14:textId="77777777" w:rsidR="00464DF1" w:rsidRDefault="00464DF1" w:rsidP="00BA4D80">
      <w:pPr>
        <w:spacing w:line="276" w:lineRule="auto"/>
        <w:jc w:val="both"/>
        <w:rPr>
          <w:b/>
          <w:bCs/>
        </w:rPr>
      </w:pPr>
    </w:p>
    <w:p w14:paraId="340D80F3" w14:textId="77777777" w:rsidR="00464DF1" w:rsidRDefault="00464DF1" w:rsidP="00BA4D80">
      <w:pPr>
        <w:spacing w:line="276" w:lineRule="auto"/>
        <w:jc w:val="both"/>
        <w:rPr>
          <w:b/>
          <w:bCs/>
        </w:rPr>
      </w:pPr>
    </w:p>
    <w:p w14:paraId="22032641" w14:textId="77777777" w:rsidR="00464DF1" w:rsidRDefault="00464DF1" w:rsidP="00BA4D80">
      <w:pPr>
        <w:spacing w:line="276" w:lineRule="auto"/>
        <w:jc w:val="both"/>
        <w:rPr>
          <w:b/>
          <w:bCs/>
        </w:rPr>
      </w:pPr>
    </w:p>
    <w:p w14:paraId="2ABA6D8D" w14:textId="77777777" w:rsidR="00464DF1" w:rsidRDefault="00464DF1" w:rsidP="00BA4D80">
      <w:pPr>
        <w:spacing w:line="276" w:lineRule="auto"/>
        <w:jc w:val="both"/>
        <w:rPr>
          <w:b/>
          <w:bCs/>
        </w:rPr>
      </w:pPr>
    </w:p>
    <w:p w14:paraId="028506DE" w14:textId="77777777" w:rsidR="00464DF1" w:rsidRDefault="00464DF1" w:rsidP="00BA4D80">
      <w:pPr>
        <w:spacing w:line="276" w:lineRule="auto"/>
        <w:jc w:val="both"/>
        <w:rPr>
          <w:b/>
          <w:bCs/>
        </w:rPr>
      </w:pPr>
    </w:p>
    <w:p w14:paraId="79FE0E11" w14:textId="77777777" w:rsidR="00464DF1" w:rsidRDefault="00464DF1" w:rsidP="00BA4D80">
      <w:pPr>
        <w:spacing w:line="276" w:lineRule="auto"/>
        <w:jc w:val="both"/>
        <w:rPr>
          <w:b/>
          <w:bCs/>
        </w:rPr>
      </w:pPr>
    </w:p>
    <w:tbl>
      <w:tblPr>
        <w:tblW w:w="2640" w:type="dxa"/>
        <w:tblInd w:w="3660" w:type="dxa"/>
        <w:tblLook w:val="04A0" w:firstRow="1" w:lastRow="0" w:firstColumn="1" w:lastColumn="0" w:noHBand="0" w:noVBand="1"/>
      </w:tblPr>
      <w:tblGrid>
        <w:gridCol w:w="1300"/>
        <w:gridCol w:w="1340"/>
      </w:tblGrid>
      <w:tr w:rsidR="008E2077" w:rsidRPr="008E2077" w14:paraId="11210116" w14:textId="77777777" w:rsidTr="008E2077">
        <w:trPr>
          <w:trHeight w:val="408"/>
        </w:trPr>
        <w:tc>
          <w:tcPr>
            <w:tcW w:w="1300" w:type="dxa"/>
            <w:tcBorders>
              <w:top w:val="single" w:sz="4" w:space="0" w:color="44B3E1"/>
              <w:left w:val="single" w:sz="4" w:space="0" w:color="44B3E1"/>
              <w:bottom w:val="single" w:sz="4" w:space="0" w:color="44B3E1"/>
              <w:right w:val="nil"/>
            </w:tcBorders>
            <w:shd w:val="clear" w:color="156082" w:fill="156082"/>
            <w:noWrap/>
            <w:vAlign w:val="center"/>
            <w:hideMark/>
          </w:tcPr>
          <w:p w14:paraId="525E7E39" w14:textId="77777777" w:rsidR="008E2077" w:rsidRPr="008E2077" w:rsidRDefault="008E2077" w:rsidP="00BA4D80">
            <w:pPr>
              <w:spacing w:after="0" w:line="276" w:lineRule="auto"/>
              <w:jc w:val="center"/>
              <w:rPr>
                <w:rFonts w:ascii="Aptos Narrow" w:eastAsia="Times New Roman" w:hAnsi="Aptos Narrow" w:cs="Times New Roman"/>
                <w:b/>
                <w:bCs/>
                <w:color w:val="FFFFFF"/>
                <w:kern w:val="0"/>
                <w:lang w:eastAsia="en-IN"/>
                <w14:ligatures w14:val="none"/>
              </w:rPr>
            </w:pPr>
            <w:r w:rsidRPr="008E2077">
              <w:rPr>
                <w:rFonts w:ascii="Aptos Narrow" w:eastAsia="Times New Roman" w:hAnsi="Aptos Narrow" w:cs="Times New Roman"/>
                <w:b/>
                <w:bCs/>
                <w:color w:val="FFFFFF"/>
                <w:kern w:val="0"/>
                <w:lang w:eastAsia="en-IN"/>
                <w14:ligatures w14:val="none"/>
              </w:rPr>
              <w:t>Month</w:t>
            </w:r>
          </w:p>
        </w:tc>
        <w:tc>
          <w:tcPr>
            <w:tcW w:w="1340" w:type="dxa"/>
            <w:tcBorders>
              <w:top w:val="single" w:sz="4" w:space="0" w:color="44B3E1"/>
              <w:left w:val="nil"/>
              <w:bottom w:val="single" w:sz="4" w:space="0" w:color="44B3E1"/>
              <w:right w:val="single" w:sz="4" w:space="0" w:color="44B3E1"/>
            </w:tcBorders>
            <w:shd w:val="clear" w:color="156082" w:fill="156082"/>
            <w:noWrap/>
            <w:vAlign w:val="center"/>
            <w:hideMark/>
          </w:tcPr>
          <w:p w14:paraId="0E1D3258" w14:textId="77777777" w:rsidR="008E2077" w:rsidRPr="008E2077" w:rsidRDefault="008E2077" w:rsidP="00BA4D80">
            <w:pPr>
              <w:spacing w:after="0" w:line="276" w:lineRule="auto"/>
              <w:jc w:val="center"/>
              <w:rPr>
                <w:rFonts w:ascii="Aptos Narrow" w:eastAsia="Times New Roman" w:hAnsi="Aptos Narrow" w:cs="Times New Roman"/>
                <w:b/>
                <w:bCs/>
                <w:color w:val="FFFFFF"/>
                <w:kern w:val="0"/>
                <w:lang w:eastAsia="en-IN"/>
                <w14:ligatures w14:val="none"/>
              </w:rPr>
            </w:pPr>
            <w:r w:rsidRPr="008E2077">
              <w:rPr>
                <w:rFonts w:ascii="Aptos Narrow" w:eastAsia="Times New Roman" w:hAnsi="Aptos Narrow" w:cs="Times New Roman"/>
                <w:b/>
                <w:bCs/>
                <w:color w:val="FFFFFF"/>
                <w:kern w:val="0"/>
                <w:lang w:eastAsia="en-IN"/>
                <w14:ligatures w14:val="none"/>
              </w:rPr>
              <w:t>Sale</w:t>
            </w:r>
          </w:p>
        </w:tc>
      </w:tr>
      <w:tr w:rsidR="008E2077" w:rsidRPr="008E2077" w14:paraId="4B19DD5F" w14:textId="77777777" w:rsidTr="008E2077">
        <w:trPr>
          <w:trHeight w:val="288"/>
        </w:trPr>
        <w:tc>
          <w:tcPr>
            <w:tcW w:w="1300" w:type="dxa"/>
            <w:tcBorders>
              <w:top w:val="single" w:sz="4" w:space="0" w:color="44B3E1"/>
              <w:left w:val="single" w:sz="4" w:space="0" w:color="44B3E1"/>
              <w:bottom w:val="single" w:sz="4" w:space="0" w:color="44B3E1"/>
              <w:right w:val="nil"/>
            </w:tcBorders>
            <w:shd w:val="clear" w:color="C0E6F5" w:fill="C0E6F5"/>
            <w:noWrap/>
            <w:vAlign w:val="bottom"/>
            <w:hideMark/>
          </w:tcPr>
          <w:p w14:paraId="3A33556D" w14:textId="77777777" w:rsidR="008E2077" w:rsidRPr="008E2077" w:rsidRDefault="008E2077" w:rsidP="00BA4D80">
            <w:pPr>
              <w:spacing w:after="0" w:line="276" w:lineRule="auto"/>
              <w:rPr>
                <w:rFonts w:ascii="Aptos Narrow" w:eastAsia="Times New Roman" w:hAnsi="Aptos Narrow" w:cs="Times New Roman"/>
                <w:color w:val="000000"/>
                <w:kern w:val="0"/>
                <w:lang w:eastAsia="en-IN"/>
                <w14:ligatures w14:val="none"/>
              </w:rPr>
            </w:pPr>
            <w:r w:rsidRPr="008E2077">
              <w:rPr>
                <w:rFonts w:ascii="Aptos Narrow" w:eastAsia="Times New Roman" w:hAnsi="Aptos Narrow" w:cs="Times New Roman"/>
                <w:color w:val="000000"/>
                <w:kern w:val="0"/>
                <w:lang w:eastAsia="en-IN"/>
                <w14:ligatures w14:val="none"/>
              </w:rPr>
              <w:t>2016-01</w:t>
            </w:r>
          </w:p>
        </w:tc>
        <w:tc>
          <w:tcPr>
            <w:tcW w:w="1340" w:type="dxa"/>
            <w:tcBorders>
              <w:top w:val="single" w:sz="4" w:space="0" w:color="44B3E1"/>
              <w:left w:val="nil"/>
              <w:bottom w:val="single" w:sz="4" w:space="0" w:color="44B3E1"/>
              <w:right w:val="single" w:sz="4" w:space="0" w:color="44B3E1"/>
            </w:tcBorders>
            <w:shd w:val="clear" w:color="C0E6F5" w:fill="C0E6F5"/>
            <w:noWrap/>
            <w:vAlign w:val="bottom"/>
            <w:hideMark/>
          </w:tcPr>
          <w:p w14:paraId="5E61056C" w14:textId="77777777" w:rsidR="008E2077" w:rsidRPr="008E2077" w:rsidRDefault="008E2077" w:rsidP="00BA4D80">
            <w:pPr>
              <w:spacing w:after="0" w:line="276" w:lineRule="auto"/>
              <w:jc w:val="right"/>
              <w:rPr>
                <w:rFonts w:ascii="Aptos Narrow" w:eastAsia="Times New Roman" w:hAnsi="Aptos Narrow" w:cs="Times New Roman"/>
                <w:color w:val="000000"/>
                <w:kern w:val="0"/>
                <w:lang w:eastAsia="en-IN"/>
                <w14:ligatures w14:val="none"/>
              </w:rPr>
            </w:pPr>
            <w:r w:rsidRPr="008E2077">
              <w:rPr>
                <w:rFonts w:ascii="Aptos Narrow" w:eastAsia="Times New Roman" w:hAnsi="Aptos Narrow" w:cs="Times New Roman"/>
                <w:color w:val="000000"/>
                <w:kern w:val="0"/>
                <w:lang w:eastAsia="en-IN"/>
                <w14:ligatures w14:val="none"/>
              </w:rPr>
              <w:t>4.46E+06</w:t>
            </w:r>
          </w:p>
        </w:tc>
      </w:tr>
      <w:tr w:rsidR="008E2077" w:rsidRPr="008E2077" w14:paraId="32D41EE5" w14:textId="77777777" w:rsidTr="008E2077">
        <w:trPr>
          <w:trHeight w:val="288"/>
        </w:trPr>
        <w:tc>
          <w:tcPr>
            <w:tcW w:w="1300" w:type="dxa"/>
            <w:tcBorders>
              <w:top w:val="single" w:sz="4" w:space="0" w:color="44B3E1"/>
              <w:left w:val="single" w:sz="4" w:space="0" w:color="44B3E1"/>
              <w:bottom w:val="single" w:sz="4" w:space="0" w:color="44B3E1"/>
              <w:right w:val="nil"/>
            </w:tcBorders>
            <w:shd w:val="clear" w:color="auto" w:fill="auto"/>
            <w:noWrap/>
            <w:vAlign w:val="bottom"/>
            <w:hideMark/>
          </w:tcPr>
          <w:p w14:paraId="3A4E56E2" w14:textId="77777777" w:rsidR="008E2077" w:rsidRPr="008E2077" w:rsidRDefault="008E2077" w:rsidP="00BA4D80">
            <w:pPr>
              <w:spacing w:after="0" w:line="276" w:lineRule="auto"/>
              <w:rPr>
                <w:rFonts w:ascii="Aptos Narrow" w:eastAsia="Times New Roman" w:hAnsi="Aptos Narrow" w:cs="Times New Roman"/>
                <w:color w:val="000000"/>
                <w:kern w:val="0"/>
                <w:lang w:eastAsia="en-IN"/>
                <w14:ligatures w14:val="none"/>
              </w:rPr>
            </w:pPr>
            <w:r w:rsidRPr="008E2077">
              <w:rPr>
                <w:rFonts w:ascii="Aptos Narrow" w:eastAsia="Times New Roman" w:hAnsi="Aptos Narrow" w:cs="Times New Roman"/>
                <w:color w:val="000000"/>
                <w:kern w:val="0"/>
                <w:lang w:eastAsia="en-IN"/>
                <w14:ligatures w14:val="none"/>
              </w:rPr>
              <w:t>2016-02</w:t>
            </w:r>
          </w:p>
        </w:tc>
        <w:tc>
          <w:tcPr>
            <w:tcW w:w="1340" w:type="dxa"/>
            <w:tcBorders>
              <w:top w:val="single" w:sz="4" w:space="0" w:color="44B3E1"/>
              <w:left w:val="nil"/>
              <w:bottom w:val="single" w:sz="4" w:space="0" w:color="44B3E1"/>
              <w:right w:val="single" w:sz="4" w:space="0" w:color="44B3E1"/>
            </w:tcBorders>
            <w:shd w:val="clear" w:color="auto" w:fill="auto"/>
            <w:noWrap/>
            <w:vAlign w:val="bottom"/>
            <w:hideMark/>
          </w:tcPr>
          <w:p w14:paraId="6A67FFFB" w14:textId="77777777" w:rsidR="008E2077" w:rsidRPr="008E2077" w:rsidRDefault="008E2077" w:rsidP="00BA4D80">
            <w:pPr>
              <w:spacing w:after="0" w:line="276" w:lineRule="auto"/>
              <w:jc w:val="right"/>
              <w:rPr>
                <w:rFonts w:ascii="Aptos Narrow" w:eastAsia="Times New Roman" w:hAnsi="Aptos Narrow" w:cs="Times New Roman"/>
                <w:color w:val="000000"/>
                <w:kern w:val="0"/>
                <w:lang w:eastAsia="en-IN"/>
                <w14:ligatures w14:val="none"/>
              </w:rPr>
            </w:pPr>
            <w:r w:rsidRPr="008E2077">
              <w:rPr>
                <w:rFonts w:ascii="Aptos Narrow" w:eastAsia="Times New Roman" w:hAnsi="Aptos Narrow" w:cs="Times New Roman"/>
                <w:color w:val="000000"/>
                <w:kern w:val="0"/>
                <w:lang w:eastAsia="en-IN"/>
                <w14:ligatures w14:val="none"/>
              </w:rPr>
              <w:t>4.38E+06</w:t>
            </w:r>
          </w:p>
        </w:tc>
      </w:tr>
      <w:tr w:rsidR="008E2077" w:rsidRPr="008E2077" w14:paraId="19F8CAE6" w14:textId="77777777" w:rsidTr="008E2077">
        <w:trPr>
          <w:trHeight w:val="288"/>
        </w:trPr>
        <w:tc>
          <w:tcPr>
            <w:tcW w:w="1300" w:type="dxa"/>
            <w:tcBorders>
              <w:top w:val="single" w:sz="4" w:space="0" w:color="44B3E1"/>
              <w:left w:val="single" w:sz="4" w:space="0" w:color="44B3E1"/>
              <w:bottom w:val="single" w:sz="4" w:space="0" w:color="44B3E1"/>
              <w:right w:val="nil"/>
            </w:tcBorders>
            <w:shd w:val="clear" w:color="C0E6F5" w:fill="C0E6F5"/>
            <w:noWrap/>
            <w:vAlign w:val="bottom"/>
            <w:hideMark/>
          </w:tcPr>
          <w:p w14:paraId="0EB20173" w14:textId="77777777" w:rsidR="008E2077" w:rsidRPr="008E2077" w:rsidRDefault="008E2077" w:rsidP="00BA4D80">
            <w:pPr>
              <w:spacing w:after="0" w:line="276" w:lineRule="auto"/>
              <w:rPr>
                <w:rFonts w:ascii="Aptos Narrow" w:eastAsia="Times New Roman" w:hAnsi="Aptos Narrow" w:cs="Times New Roman"/>
                <w:color w:val="000000"/>
                <w:kern w:val="0"/>
                <w:lang w:eastAsia="en-IN"/>
                <w14:ligatures w14:val="none"/>
              </w:rPr>
            </w:pPr>
            <w:r w:rsidRPr="008E2077">
              <w:rPr>
                <w:rFonts w:ascii="Aptos Narrow" w:eastAsia="Times New Roman" w:hAnsi="Aptos Narrow" w:cs="Times New Roman"/>
                <w:color w:val="000000"/>
                <w:kern w:val="0"/>
                <w:lang w:eastAsia="en-IN"/>
                <w14:ligatures w14:val="none"/>
              </w:rPr>
              <w:t>2016-03</w:t>
            </w:r>
          </w:p>
        </w:tc>
        <w:tc>
          <w:tcPr>
            <w:tcW w:w="1340" w:type="dxa"/>
            <w:tcBorders>
              <w:top w:val="single" w:sz="4" w:space="0" w:color="44B3E1"/>
              <w:left w:val="nil"/>
              <w:bottom w:val="single" w:sz="4" w:space="0" w:color="44B3E1"/>
              <w:right w:val="single" w:sz="4" w:space="0" w:color="44B3E1"/>
            </w:tcBorders>
            <w:shd w:val="clear" w:color="C0E6F5" w:fill="C0E6F5"/>
            <w:noWrap/>
            <w:vAlign w:val="bottom"/>
            <w:hideMark/>
          </w:tcPr>
          <w:p w14:paraId="5DEE4C7A" w14:textId="77777777" w:rsidR="008E2077" w:rsidRPr="008E2077" w:rsidRDefault="008E2077" w:rsidP="00BA4D80">
            <w:pPr>
              <w:spacing w:after="0" w:line="276" w:lineRule="auto"/>
              <w:jc w:val="right"/>
              <w:rPr>
                <w:rFonts w:ascii="Aptos Narrow" w:eastAsia="Times New Roman" w:hAnsi="Aptos Narrow" w:cs="Times New Roman"/>
                <w:color w:val="000000"/>
                <w:kern w:val="0"/>
                <w:lang w:eastAsia="en-IN"/>
                <w14:ligatures w14:val="none"/>
              </w:rPr>
            </w:pPr>
            <w:r w:rsidRPr="008E2077">
              <w:rPr>
                <w:rFonts w:ascii="Aptos Narrow" w:eastAsia="Times New Roman" w:hAnsi="Aptos Narrow" w:cs="Times New Roman"/>
                <w:color w:val="000000"/>
                <w:kern w:val="0"/>
                <w:lang w:eastAsia="en-IN"/>
                <w14:ligatures w14:val="none"/>
              </w:rPr>
              <w:t>4.58E+06</w:t>
            </w:r>
          </w:p>
        </w:tc>
      </w:tr>
    </w:tbl>
    <w:p w14:paraId="0B214080" w14:textId="77777777" w:rsidR="00464DF1" w:rsidRDefault="00464DF1" w:rsidP="00BA4D80">
      <w:pPr>
        <w:spacing w:line="276" w:lineRule="auto"/>
        <w:jc w:val="both"/>
        <w:rPr>
          <w:b/>
          <w:bCs/>
        </w:rPr>
      </w:pPr>
    </w:p>
    <w:p w14:paraId="11DCAEEF" w14:textId="77777777" w:rsidR="005C594D" w:rsidRDefault="005C594D" w:rsidP="00BA4D80">
      <w:pPr>
        <w:spacing w:line="276" w:lineRule="auto"/>
        <w:jc w:val="both"/>
        <w:rPr>
          <w:b/>
          <w:bCs/>
        </w:rPr>
      </w:pPr>
    </w:p>
    <w:p w14:paraId="01F76AA9" w14:textId="42FC7D29" w:rsidR="008E2077" w:rsidRDefault="00464DF1" w:rsidP="00030F75">
      <w:pPr>
        <w:jc w:val="both"/>
      </w:pPr>
      <w:r w:rsidRPr="00030F75">
        <w:t>The graph</w:t>
      </w:r>
      <w:r w:rsidR="00BA4D80" w:rsidRPr="00030F75">
        <w:t xml:space="preserve"> and table</w:t>
      </w:r>
      <w:r w:rsidRPr="00030F75">
        <w:t xml:space="preserve"> provided illustrates the historical monthly sales from January 2013 to December 2015, along with forecasted sales for January, February, and March of 2016. The predictions are represented by the red line, and the shaded area around this line indicates the </w:t>
      </w:r>
      <w:r w:rsidR="00F732E3" w:rsidRPr="00030F75">
        <w:t>error margins for the expected values</w:t>
      </w:r>
      <w:r w:rsidRPr="00030F75">
        <w:t xml:space="preserve">, providing a range where the actual sales figures are expected to fall. ARIMA model was used for this </w:t>
      </w:r>
      <w:r w:rsidR="008E2077" w:rsidRPr="00030F75">
        <w:t>forecasting,</w:t>
      </w:r>
      <w:r w:rsidR="003E2D0C" w:rsidRPr="00030F75">
        <w:t xml:space="preserve"> and it </w:t>
      </w:r>
      <w:r w:rsidRPr="00030F75">
        <w:t>was set to (7, 2, 4)</w:t>
      </w:r>
      <w:r w:rsidR="003E2D0C" w:rsidRPr="00030F75">
        <w:t>.</w:t>
      </w:r>
    </w:p>
    <w:p w14:paraId="21A485BB" w14:textId="77777777" w:rsidR="00030F75" w:rsidRPr="00030F75" w:rsidRDefault="00030F75" w:rsidP="00030F75">
      <w:pPr>
        <w:jc w:val="both"/>
      </w:pPr>
    </w:p>
    <w:p w14:paraId="15F2F8EA" w14:textId="2E580653" w:rsidR="003E2D0C" w:rsidRPr="003E2D0C" w:rsidRDefault="003E2D0C" w:rsidP="00BA4D80">
      <w:pPr>
        <w:pStyle w:val="ListParagraph"/>
        <w:numPr>
          <w:ilvl w:val="0"/>
          <w:numId w:val="8"/>
        </w:numPr>
        <w:spacing w:line="276" w:lineRule="auto"/>
        <w:rPr>
          <w:lang w:eastAsia="en-IN"/>
        </w:rPr>
      </w:pPr>
      <w:r w:rsidRPr="000145E8">
        <w:rPr>
          <w:b/>
          <w:bCs/>
          <w:lang w:eastAsia="en-IN"/>
        </w:rPr>
        <w:t>January 2016:</w:t>
      </w:r>
      <w:r w:rsidRPr="003E2D0C">
        <w:rPr>
          <w:lang w:eastAsia="en-IN"/>
        </w:rPr>
        <w:t xml:space="preserve"> Estimated sales of approximately $</w:t>
      </w:r>
      <w:r w:rsidR="008E0FDD" w:rsidRPr="008E2077">
        <w:t>4.4</w:t>
      </w:r>
      <w:r w:rsidR="008E2077" w:rsidRPr="008E2077">
        <w:t>6</w:t>
      </w:r>
      <w:r w:rsidRPr="003E2D0C">
        <w:rPr>
          <w:lang w:eastAsia="en-IN"/>
        </w:rPr>
        <w:t xml:space="preserve"> million.</w:t>
      </w:r>
    </w:p>
    <w:p w14:paraId="2543E3FA" w14:textId="28CE63B0" w:rsidR="003E2D0C" w:rsidRPr="003E2D0C" w:rsidRDefault="003E2D0C" w:rsidP="00BA4D80">
      <w:pPr>
        <w:pStyle w:val="ListParagraph"/>
        <w:numPr>
          <w:ilvl w:val="0"/>
          <w:numId w:val="8"/>
        </w:numPr>
        <w:spacing w:line="276" w:lineRule="auto"/>
        <w:rPr>
          <w:lang w:eastAsia="en-IN"/>
        </w:rPr>
      </w:pPr>
      <w:r w:rsidRPr="000145E8">
        <w:rPr>
          <w:b/>
          <w:bCs/>
          <w:lang w:eastAsia="en-IN"/>
        </w:rPr>
        <w:t>February 2016:</w:t>
      </w:r>
      <w:r w:rsidRPr="003E2D0C">
        <w:rPr>
          <w:lang w:eastAsia="en-IN"/>
        </w:rPr>
        <w:t xml:space="preserve"> Estimated sales of approximately $</w:t>
      </w:r>
      <w:r w:rsidR="008E2077" w:rsidRPr="008E2077">
        <w:t>4.38</w:t>
      </w:r>
      <w:r w:rsidRPr="003E2D0C">
        <w:rPr>
          <w:lang w:eastAsia="en-IN"/>
        </w:rPr>
        <w:t xml:space="preserve"> million.</w:t>
      </w:r>
    </w:p>
    <w:p w14:paraId="388DC5C9" w14:textId="10D31C40" w:rsidR="003E2D0C" w:rsidRDefault="003E2D0C" w:rsidP="00BA4D80">
      <w:pPr>
        <w:pStyle w:val="ListParagraph"/>
        <w:numPr>
          <w:ilvl w:val="0"/>
          <w:numId w:val="8"/>
        </w:numPr>
        <w:spacing w:line="276" w:lineRule="auto"/>
        <w:rPr>
          <w:lang w:eastAsia="en-IN"/>
        </w:rPr>
      </w:pPr>
      <w:r w:rsidRPr="000145E8">
        <w:rPr>
          <w:b/>
          <w:bCs/>
          <w:lang w:eastAsia="en-IN"/>
        </w:rPr>
        <w:t>March 2016:</w:t>
      </w:r>
      <w:r w:rsidRPr="003E2D0C">
        <w:rPr>
          <w:lang w:eastAsia="en-IN"/>
        </w:rPr>
        <w:t xml:space="preserve"> Estimated sales of approximately $</w:t>
      </w:r>
      <w:r w:rsidR="008E2077" w:rsidRPr="008E2077">
        <w:t>4.58</w:t>
      </w:r>
      <w:r w:rsidRPr="003E2D0C">
        <w:rPr>
          <w:lang w:eastAsia="en-IN"/>
        </w:rPr>
        <w:t xml:space="preserve"> million.</w:t>
      </w:r>
    </w:p>
    <w:p w14:paraId="2044B38C" w14:textId="77777777" w:rsidR="005C594D" w:rsidRPr="003E2D0C" w:rsidRDefault="005C594D" w:rsidP="00BA4D80">
      <w:pPr>
        <w:pStyle w:val="ListParagraph"/>
        <w:spacing w:line="276" w:lineRule="auto"/>
        <w:rPr>
          <w:lang w:eastAsia="en-IN"/>
        </w:rPr>
      </w:pPr>
    </w:p>
    <w:p w14:paraId="61D0EF14" w14:textId="52D11D5E" w:rsidR="003E2D0C" w:rsidRDefault="005C594D" w:rsidP="00BA4D80">
      <w:pPr>
        <w:spacing w:line="276" w:lineRule="auto"/>
        <w:jc w:val="both"/>
      </w:pPr>
      <w:r w:rsidRPr="005C594D">
        <w:lastRenderedPageBreak/>
        <w:t>The prediction for January 2016 shows a stable start to the year when compared to the historical data, which may reflect the typical post-holiday sales period. The slight decrease in February's sales forecast might reflect a seasonal normalization following January's shopping activities. The slight decrease in February's sales forecast might reflect a seasonal normalization following January's shopping activities. Historically, February often shows a dip after the surge in January. The increase for March is notable and could be attributed to various factors such as the onset of spring.</w:t>
      </w:r>
    </w:p>
    <w:p w14:paraId="127CE5E0" w14:textId="20CDA69D" w:rsidR="00E802B5" w:rsidRDefault="00E802B5" w:rsidP="00BA4D80">
      <w:pPr>
        <w:spacing w:line="276" w:lineRule="auto"/>
        <w:jc w:val="both"/>
      </w:pPr>
    </w:p>
    <w:p w14:paraId="02DE4CF3" w14:textId="6F41F9B4" w:rsidR="00D32ED1" w:rsidRDefault="00E802B5" w:rsidP="00D32ED1">
      <w:pPr>
        <w:pStyle w:val="Heading1"/>
        <w:rPr>
          <w:b/>
          <w:bCs/>
        </w:rPr>
      </w:pPr>
      <w:bookmarkStart w:id="6" w:name="_Toc164635653"/>
      <w:r w:rsidRPr="00E802B5">
        <w:rPr>
          <w:b/>
          <w:bCs/>
        </w:rPr>
        <w:t>Question 3</w:t>
      </w:r>
      <w:bookmarkEnd w:id="6"/>
    </w:p>
    <w:p w14:paraId="34A702DE" w14:textId="27FABE7D" w:rsidR="00D32ED1" w:rsidRPr="00D32ED1" w:rsidRDefault="00D32ED1" w:rsidP="00D32ED1"/>
    <w:p w14:paraId="253ACA64" w14:textId="52C8F025" w:rsidR="00D32ED1" w:rsidRPr="00D32ED1" w:rsidRDefault="00D32ED1" w:rsidP="00D32ED1">
      <w:pPr>
        <w:jc w:val="both"/>
        <w:rPr>
          <w:lang w:eastAsia="en-IN"/>
        </w:rPr>
      </w:pPr>
      <w:r w:rsidRPr="00D32ED1">
        <w:rPr>
          <w:lang w:eastAsia="en-IN"/>
        </w:rPr>
        <w:t>Our analysis explores the relationship between sales promotions and purchasing patterns, focusing on mangoes, bananas, and lettuce in 2013. During a year of stable prices, any notable shifts likely reflect promotional activities. By examining these price movements, we aim to understand how discounts and pricing strategies impact sales volume for these key products.</w:t>
      </w:r>
    </w:p>
    <w:p w14:paraId="47190208" w14:textId="0B41B70C" w:rsidR="00D32ED1" w:rsidRDefault="00D32ED1" w:rsidP="00E802B5"/>
    <w:p w14:paraId="4D02D53B" w14:textId="33F6FE45" w:rsidR="00D32ED1" w:rsidRDefault="00000000" w:rsidP="00E802B5">
      <w:r>
        <w:rPr>
          <w:noProof/>
        </w:rPr>
        <w:pict w14:anchorId="1412E1AC">
          <v:shapetype id="_x0000_t202" coordsize="21600,21600" o:spt="202" path="m,l,21600r21600,l21600,xe">
            <v:stroke joinstyle="miter"/>
            <v:path gradientshapeok="t" o:connecttype="rect"/>
          </v:shapetype>
          <v:shape id="_x0000_s1026" type="#_x0000_t202" style="position:absolute;margin-left:67.1pt;margin-top:208pt;width:318.6pt;height:.05pt;z-index:251666944;mso-position-horizontal-relative:text;mso-position-vertical-relative:text" stroked="f">
            <v:textbox style="mso-fit-shape-to-text:t" inset="0,0,0,0">
              <w:txbxContent>
                <w:p w14:paraId="33682E92" w14:textId="53F218E6" w:rsidR="003F5F6A" w:rsidRPr="00B9336E" w:rsidRDefault="003F5F6A" w:rsidP="003F5F6A">
                  <w:pPr>
                    <w:pStyle w:val="Caption"/>
                    <w:jc w:val="center"/>
                    <w:rPr>
                      <w:noProof/>
                      <w:sz w:val="22"/>
                      <w:szCs w:val="22"/>
                    </w:rPr>
                  </w:pPr>
                  <w:r>
                    <w:t>Fig 1</w:t>
                  </w:r>
                </w:p>
              </w:txbxContent>
            </v:textbox>
          </v:shape>
        </w:pict>
      </w:r>
      <w:r w:rsidR="00D32ED1">
        <w:rPr>
          <w:noProof/>
        </w:rPr>
        <w:drawing>
          <wp:anchor distT="0" distB="0" distL="114300" distR="114300" simplePos="0" relativeHeight="251652096" behindDoc="0" locked="0" layoutInCell="1" allowOverlap="1" wp14:anchorId="0895914F" wp14:editId="7E390D96">
            <wp:simplePos x="0" y="0"/>
            <wp:positionH relativeFrom="column">
              <wp:posOffset>852170</wp:posOffset>
            </wp:positionH>
            <wp:positionV relativeFrom="paragraph">
              <wp:posOffset>134042</wp:posOffset>
            </wp:positionV>
            <wp:extent cx="4046220" cy="2450465"/>
            <wp:effectExtent l="19050" t="19050" r="0" b="6985"/>
            <wp:wrapNone/>
            <wp:docPr id="1018447116" name="Picture 6" descr="A graph showing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47116" name="Picture 6" descr="A graph showing a line going u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46220" cy="2450465"/>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p>
    <w:p w14:paraId="22B624BE" w14:textId="3E14CF7B" w:rsidR="00D32ED1" w:rsidRDefault="00D32ED1" w:rsidP="00E802B5"/>
    <w:p w14:paraId="2EF92039" w14:textId="176BFFB8" w:rsidR="00D32ED1" w:rsidRDefault="00D32ED1" w:rsidP="00E802B5"/>
    <w:p w14:paraId="48CED083" w14:textId="214C450E" w:rsidR="00D32ED1" w:rsidRDefault="00D32ED1" w:rsidP="00E802B5"/>
    <w:p w14:paraId="5134771C" w14:textId="5F970748" w:rsidR="00D32ED1" w:rsidRDefault="00D32ED1" w:rsidP="00E802B5"/>
    <w:p w14:paraId="3D4A0453" w14:textId="3B4BAED4" w:rsidR="00D32ED1" w:rsidRDefault="00D32ED1" w:rsidP="00E802B5"/>
    <w:p w14:paraId="74AE266A" w14:textId="5056D1CC" w:rsidR="00D32ED1" w:rsidRDefault="00D32ED1" w:rsidP="00E802B5"/>
    <w:p w14:paraId="484C58A8" w14:textId="5A8D2DEA" w:rsidR="00D32ED1" w:rsidRDefault="00D32ED1" w:rsidP="00E802B5"/>
    <w:p w14:paraId="542410AB" w14:textId="0C5319B7" w:rsidR="00E802B5" w:rsidRDefault="00E802B5" w:rsidP="00E802B5"/>
    <w:p w14:paraId="6BE02DB4" w14:textId="77777777" w:rsidR="003F5F6A" w:rsidRDefault="003F5F6A" w:rsidP="00E802B5"/>
    <w:p w14:paraId="4AB5C94B" w14:textId="08CE3018" w:rsidR="00D32ED1" w:rsidRPr="00D32ED1" w:rsidRDefault="00D32ED1" w:rsidP="00D32ED1"/>
    <w:p w14:paraId="7408EF65" w14:textId="65DE489C" w:rsidR="00D32ED1" w:rsidRPr="00D32ED1" w:rsidRDefault="00D32ED1" w:rsidP="00D32ED1">
      <w:pPr>
        <w:jc w:val="both"/>
        <w:rPr>
          <w:lang w:eastAsia="en-IN"/>
        </w:rPr>
      </w:pPr>
      <w:r>
        <w:rPr>
          <w:lang w:eastAsia="en-IN"/>
        </w:rPr>
        <w:t xml:space="preserve">In the line graph </w:t>
      </w:r>
      <w:r w:rsidR="009F7D8E">
        <w:rPr>
          <w:lang w:eastAsia="en-IN"/>
        </w:rPr>
        <w:t>in Fig 1</w:t>
      </w:r>
      <w:r>
        <w:rPr>
          <w:lang w:eastAsia="en-IN"/>
        </w:rPr>
        <w:t>above, t</w:t>
      </w:r>
      <w:r w:rsidRPr="00D32ED1">
        <w:rPr>
          <w:lang w:eastAsia="en-IN"/>
        </w:rPr>
        <w:t>he price of mangoes appears relatively stable until around May when a significant increase is observed. This peak could suggest a sales promotion that temporarily increased the price, potentially as part of a strategy to make a subsequent discount seem more appealing. Following this peak, the price drops below the previous level, which may indicate the promotion period where the price is reduced to stimulate sales.</w:t>
      </w:r>
    </w:p>
    <w:p w14:paraId="15D4EB8E" w14:textId="78F2372D" w:rsidR="00D32ED1" w:rsidRPr="00D32ED1" w:rsidRDefault="00D32ED1" w:rsidP="00D32ED1">
      <w:pPr>
        <w:jc w:val="both"/>
        <w:rPr>
          <w:lang w:eastAsia="en-IN"/>
        </w:rPr>
      </w:pPr>
      <w:r w:rsidRPr="00D32ED1">
        <w:rPr>
          <w:lang w:eastAsia="en-IN"/>
        </w:rPr>
        <w:t>Another notable peak occurs in September, with the price returning to its pre-promotion level shortly thereafter. The pattern of peaks and troughs in the graph could represent repeated promotional cycles.</w:t>
      </w:r>
    </w:p>
    <w:p w14:paraId="038BC0D6" w14:textId="6B60999F" w:rsidR="00D32ED1" w:rsidRDefault="00D32ED1" w:rsidP="00E802B5"/>
    <w:p w14:paraId="51C02BD1" w14:textId="3EC0B788" w:rsidR="00E802B5" w:rsidRDefault="00E802B5" w:rsidP="00E802B5"/>
    <w:p w14:paraId="5BB1C7C3" w14:textId="13A483F5" w:rsidR="00D32ED1" w:rsidRDefault="00000000" w:rsidP="00E802B5">
      <w:r>
        <w:rPr>
          <w:noProof/>
        </w:rPr>
        <w:pict w14:anchorId="2C6CF312">
          <v:shape id="_x0000_s1027" type="#_x0000_t202" style="position:absolute;margin-left:61.2pt;margin-top:204.6pt;width:330.25pt;height:.05pt;z-index:251668992;mso-position-horizontal-relative:text;mso-position-vertical-relative:text" stroked="f">
            <v:textbox style="mso-fit-shape-to-text:t" inset="0,0,0,0">
              <w:txbxContent>
                <w:p w14:paraId="6AB5D001" w14:textId="08B8FB76" w:rsidR="003F5F6A" w:rsidRPr="0060287D" w:rsidRDefault="003F5F6A" w:rsidP="003F5F6A">
                  <w:pPr>
                    <w:pStyle w:val="Caption"/>
                    <w:jc w:val="center"/>
                    <w:rPr>
                      <w:noProof/>
                      <w:sz w:val="22"/>
                      <w:szCs w:val="22"/>
                    </w:rPr>
                  </w:pPr>
                  <w:r>
                    <w:t>Fig 2</w:t>
                  </w:r>
                </w:p>
              </w:txbxContent>
            </v:textbox>
          </v:shape>
        </w:pict>
      </w:r>
      <w:r w:rsidR="003F5F6A">
        <w:rPr>
          <w:noProof/>
        </w:rPr>
        <w:drawing>
          <wp:anchor distT="0" distB="0" distL="114300" distR="114300" simplePos="0" relativeHeight="251689984" behindDoc="0" locked="0" layoutInCell="1" allowOverlap="1" wp14:anchorId="45E92E92" wp14:editId="27132CC0">
            <wp:simplePos x="0" y="0"/>
            <wp:positionH relativeFrom="column">
              <wp:posOffset>777572</wp:posOffset>
            </wp:positionH>
            <wp:positionV relativeFrom="paragraph">
              <wp:posOffset>-362585</wp:posOffset>
            </wp:positionV>
            <wp:extent cx="4194394" cy="2904383"/>
            <wp:effectExtent l="19050" t="19050" r="0" b="0"/>
            <wp:wrapNone/>
            <wp:docPr id="791777905" name="Picture 9" descr="A graph showing a line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77905" name="Picture 9" descr="A graph showing a line of banana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4394" cy="2904383"/>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p>
    <w:p w14:paraId="367D2224" w14:textId="0AAB32AF" w:rsidR="00D32ED1" w:rsidRDefault="00D32ED1" w:rsidP="00E802B5"/>
    <w:p w14:paraId="5BFB6A49" w14:textId="77777777" w:rsidR="00D32ED1" w:rsidRDefault="00D32ED1" w:rsidP="00E802B5"/>
    <w:p w14:paraId="6AA785F3" w14:textId="77777777" w:rsidR="00D32ED1" w:rsidRDefault="00D32ED1" w:rsidP="00E802B5"/>
    <w:p w14:paraId="72BEA672" w14:textId="77777777" w:rsidR="00D32ED1" w:rsidRDefault="00D32ED1" w:rsidP="00E802B5"/>
    <w:p w14:paraId="1116376D" w14:textId="29636B85" w:rsidR="00D32ED1" w:rsidRDefault="00D32ED1" w:rsidP="00E802B5"/>
    <w:p w14:paraId="209340D5" w14:textId="562BCCAC" w:rsidR="00D32ED1" w:rsidRDefault="00D32ED1" w:rsidP="00E802B5"/>
    <w:p w14:paraId="2552369C" w14:textId="77777777" w:rsidR="00D32ED1" w:rsidRDefault="00D32ED1" w:rsidP="00E802B5"/>
    <w:p w14:paraId="1E8CCB14" w14:textId="64D86CB0" w:rsidR="00D32ED1" w:rsidRDefault="00D32ED1" w:rsidP="00E802B5"/>
    <w:p w14:paraId="2A14BC48" w14:textId="77777777" w:rsidR="00D32ED1" w:rsidRDefault="00D32ED1" w:rsidP="00E802B5"/>
    <w:p w14:paraId="2544A546" w14:textId="77777777" w:rsidR="003F5F6A" w:rsidRDefault="003F5F6A" w:rsidP="00E802B5"/>
    <w:p w14:paraId="50B08266" w14:textId="5203BFC7" w:rsidR="003F5F6A" w:rsidRPr="003F5F6A" w:rsidRDefault="003F5F6A" w:rsidP="003F5F6A">
      <w:pPr>
        <w:jc w:val="both"/>
        <w:rPr>
          <w:lang w:eastAsia="en-IN"/>
        </w:rPr>
      </w:pPr>
      <w:r w:rsidRPr="003F5F6A">
        <w:rPr>
          <w:lang w:eastAsia="en-IN"/>
        </w:rPr>
        <w:t>The price trend for bananas is characterized by high variability with several peaks and drops throughout the year</w:t>
      </w:r>
      <w:r>
        <w:rPr>
          <w:lang w:eastAsia="en-IN"/>
        </w:rPr>
        <w:t xml:space="preserve"> as shown in the line graph above</w:t>
      </w:r>
      <w:r w:rsidR="009F7D8E">
        <w:rPr>
          <w:lang w:eastAsia="en-IN"/>
        </w:rPr>
        <w:t xml:space="preserve"> in Fig 2</w:t>
      </w:r>
      <w:r w:rsidRPr="003F5F6A">
        <w:rPr>
          <w:lang w:eastAsia="en-IN"/>
        </w:rPr>
        <w:t>. Such fluctuations may be related to promotions or could be attributed to supply issues or changes in demand.</w:t>
      </w:r>
    </w:p>
    <w:p w14:paraId="1E876D01" w14:textId="77777777" w:rsidR="003F5F6A" w:rsidRDefault="003F5F6A" w:rsidP="003F5F6A">
      <w:pPr>
        <w:jc w:val="both"/>
        <w:rPr>
          <w:lang w:eastAsia="en-IN"/>
        </w:rPr>
      </w:pPr>
      <w:r w:rsidRPr="003F5F6A">
        <w:rPr>
          <w:lang w:eastAsia="en-IN"/>
        </w:rPr>
        <w:t>The dotted line, potentially representing the average price over the year, crosses through many of these fluctuations, which may indicate that the promotions did not significantly deviate from the average price level.</w:t>
      </w:r>
    </w:p>
    <w:p w14:paraId="2F38C71E" w14:textId="77777777" w:rsidR="003F5F6A" w:rsidRDefault="003F5F6A" w:rsidP="003F5F6A">
      <w:pPr>
        <w:jc w:val="both"/>
        <w:rPr>
          <w:lang w:eastAsia="en-IN"/>
        </w:rPr>
      </w:pPr>
    </w:p>
    <w:p w14:paraId="01D0955A" w14:textId="77777777" w:rsidR="003F5F6A" w:rsidRPr="003F5F6A" w:rsidRDefault="003F5F6A" w:rsidP="003F5F6A">
      <w:pPr>
        <w:jc w:val="both"/>
        <w:rPr>
          <w:lang w:eastAsia="en-IN"/>
        </w:rPr>
      </w:pPr>
    </w:p>
    <w:p w14:paraId="0D8B4F4D" w14:textId="779DB2EE" w:rsidR="00D32ED1" w:rsidRDefault="00000000" w:rsidP="00E802B5">
      <w:r>
        <w:rPr>
          <w:noProof/>
        </w:rPr>
        <w:pict w14:anchorId="578E2569">
          <v:shape id="_x0000_s1028" type="#_x0000_t202" style="position:absolute;margin-left:48.7pt;margin-top:250pt;width:355.25pt;height:.05pt;z-index:251671040;mso-position-horizontal-relative:text;mso-position-vertical-relative:text" stroked="f">
            <v:textbox style="mso-fit-shape-to-text:t" inset="0,0,0,0">
              <w:txbxContent>
                <w:p w14:paraId="033E18AC" w14:textId="3C7A68DB" w:rsidR="003F5F6A" w:rsidRPr="000428FD" w:rsidRDefault="003F5F6A" w:rsidP="003F5F6A">
                  <w:pPr>
                    <w:pStyle w:val="Caption"/>
                    <w:jc w:val="center"/>
                    <w:rPr>
                      <w:noProof/>
                      <w:sz w:val="22"/>
                      <w:szCs w:val="22"/>
                    </w:rPr>
                  </w:pPr>
                  <w:r>
                    <w:t>Fig 3</w:t>
                  </w:r>
                </w:p>
              </w:txbxContent>
            </v:textbox>
          </v:shape>
        </w:pict>
      </w:r>
      <w:r w:rsidR="003F5F6A">
        <w:rPr>
          <w:noProof/>
        </w:rPr>
        <w:drawing>
          <wp:anchor distT="0" distB="0" distL="114300" distR="114300" simplePos="0" relativeHeight="251672576" behindDoc="0" locked="0" layoutInCell="1" allowOverlap="1" wp14:anchorId="6E64CE58" wp14:editId="22868505">
            <wp:simplePos x="0" y="0"/>
            <wp:positionH relativeFrom="column">
              <wp:posOffset>618490</wp:posOffset>
            </wp:positionH>
            <wp:positionV relativeFrom="paragraph">
              <wp:posOffset>29608</wp:posOffset>
            </wp:positionV>
            <wp:extent cx="4512007" cy="3089183"/>
            <wp:effectExtent l="19050" t="19050" r="3175" b="0"/>
            <wp:wrapNone/>
            <wp:docPr id="357356120" name="Picture 8"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56120" name="Picture 8" descr="A graph showing a line of blue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512007" cy="3089183"/>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p>
    <w:p w14:paraId="58E39967" w14:textId="3770758E" w:rsidR="00D32ED1" w:rsidRDefault="00D32ED1" w:rsidP="00E802B5"/>
    <w:p w14:paraId="236D9E09" w14:textId="2AAB9693" w:rsidR="00D32ED1" w:rsidRDefault="00D32ED1" w:rsidP="00E802B5"/>
    <w:p w14:paraId="79AB3211" w14:textId="77777777" w:rsidR="00D32ED1" w:rsidRDefault="00D32ED1" w:rsidP="00E802B5"/>
    <w:p w14:paraId="7C40EA71" w14:textId="100F3818" w:rsidR="00D32ED1" w:rsidRDefault="00D32ED1" w:rsidP="00E802B5"/>
    <w:p w14:paraId="35960502" w14:textId="6B7A4EDE" w:rsidR="00D32ED1" w:rsidRDefault="00D32ED1" w:rsidP="00E802B5"/>
    <w:p w14:paraId="39F09ED9" w14:textId="4EF14282" w:rsidR="00D32ED1" w:rsidRDefault="00D32ED1" w:rsidP="00E802B5"/>
    <w:p w14:paraId="3C0AE1F1" w14:textId="2E4C4E83" w:rsidR="00D32ED1" w:rsidRDefault="00D32ED1" w:rsidP="00E802B5"/>
    <w:p w14:paraId="495A32FA" w14:textId="77777777" w:rsidR="00D32ED1" w:rsidRDefault="00D32ED1" w:rsidP="00E802B5"/>
    <w:p w14:paraId="7338FDD8" w14:textId="6EDF1335" w:rsidR="00D32ED1" w:rsidRDefault="00D32ED1" w:rsidP="00E802B5"/>
    <w:p w14:paraId="0459C072" w14:textId="77777777" w:rsidR="00D32ED1" w:rsidRDefault="00D32ED1" w:rsidP="00E802B5"/>
    <w:p w14:paraId="03602CDA" w14:textId="3CD0B5E2" w:rsidR="00D32ED1" w:rsidRDefault="00D32ED1" w:rsidP="00E802B5"/>
    <w:p w14:paraId="653014B2" w14:textId="024FCC2E" w:rsidR="00D32ED1" w:rsidRPr="00D32ED1" w:rsidRDefault="00D32ED1" w:rsidP="00030F75">
      <w:pPr>
        <w:jc w:val="both"/>
        <w:rPr>
          <w:lang w:eastAsia="en-IN"/>
        </w:rPr>
      </w:pPr>
      <w:r>
        <w:rPr>
          <w:lang w:eastAsia="en-IN"/>
        </w:rPr>
        <w:lastRenderedPageBreak/>
        <w:t>By examining the line graph</w:t>
      </w:r>
      <w:r w:rsidR="009F7D8E">
        <w:rPr>
          <w:lang w:eastAsia="en-IN"/>
        </w:rPr>
        <w:t xml:space="preserve"> in Fig 3</w:t>
      </w:r>
      <w:r>
        <w:rPr>
          <w:lang w:eastAsia="en-IN"/>
        </w:rPr>
        <w:t xml:space="preserve"> above, l</w:t>
      </w:r>
      <w:r w:rsidRPr="00D32ED1">
        <w:rPr>
          <w:lang w:eastAsia="en-IN"/>
        </w:rPr>
        <w:t>ettuce prices show a similar pattern of variability as seen with bananas, with frequent changes in pricing. These could correlate with sales promotions aimed at increasing the volume of sales.</w:t>
      </w:r>
    </w:p>
    <w:p w14:paraId="0096ED0D" w14:textId="0F6A9C10" w:rsidR="00D32ED1" w:rsidRPr="00D32ED1" w:rsidRDefault="00D32ED1" w:rsidP="00030F75">
      <w:pPr>
        <w:jc w:val="both"/>
        <w:rPr>
          <w:lang w:eastAsia="en-IN"/>
        </w:rPr>
      </w:pPr>
      <w:r w:rsidRPr="00D32ED1">
        <w:rPr>
          <w:lang w:eastAsia="en-IN"/>
        </w:rPr>
        <w:t>The frequent ups and downs in the price trend may also suggest that lettuce is a product with more elastic demand, where price changes are used to manage sales volumes.</w:t>
      </w:r>
    </w:p>
    <w:p w14:paraId="32EA5AC4" w14:textId="2072286C" w:rsidR="00D32ED1" w:rsidRDefault="00D32ED1" w:rsidP="00E802B5"/>
    <w:p w14:paraId="73E35BF2" w14:textId="3C4A1B17" w:rsidR="00D32ED1" w:rsidRPr="005C4373" w:rsidRDefault="005C4373" w:rsidP="005C4373">
      <w:pPr>
        <w:pStyle w:val="Heading1"/>
        <w:rPr>
          <w:b/>
          <w:bCs/>
          <w:noProof/>
        </w:rPr>
      </w:pPr>
      <w:bookmarkStart w:id="7" w:name="_Toc164635654"/>
      <w:r w:rsidRPr="005C4373">
        <w:rPr>
          <w:b/>
          <w:bCs/>
          <w:noProof/>
        </w:rPr>
        <w:t>Conclusion</w:t>
      </w:r>
      <w:bookmarkEnd w:id="7"/>
    </w:p>
    <w:p w14:paraId="755EF482" w14:textId="77777777" w:rsidR="005C4373" w:rsidRDefault="005C4373" w:rsidP="005C4373">
      <w:pPr>
        <w:rPr>
          <w:noProof/>
        </w:rPr>
      </w:pPr>
    </w:p>
    <w:p w14:paraId="56D70E0B" w14:textId="6A834880" w:rsidR="005C4373" w:rsidRDefault="005C4373" w:rsidP="00030F75">
      <w:pPr>
        <w:jc w:val="both"/>
        <w:rPr>
          <w:noProof/>
        </w:rPr>
      </w:pPr>
      <w:r>
        <w:rPr>
          <w:noProof/>
        </w:rPr>
        <w:t>The in-depth analysis of the supermarket's transaction data from 2013 to 2015 has culminated in substantive insights. Notably, the behavior of 11,005 regular customers indicates a diverse range of engagement, with an astonishing 814,260 total trips made and a significant $47,633,829 spent in 2014 alone. Such figures underscore the value of customer loyalty and the potential returns on investment in targeted retention strategies.</w:t>
      </w:r>
    </w:p>
    <w:p w14:paraId="1342AEB7" w14:textId="77777777" w:rsidR="005C4373" w:rsidRDefault="005C4373" w:rsidP="00030F75">
      <w:pPr>
        <w:jc w:val="both"/>
        <w:rPr>
          <w:noProof/>
        </w:rPr>
      </w:pPr>
    </w:p>
    <w:p w14:paraId="0035597B" w14:textId="77777777" w:rsidR="005C4373" w:rsidRDefault="005C4373" w:rsidP="00030F75">
      <w:pPr>
        <w:jc w:val="both"/>
        <w:rPr>
          <w:noProof/>
        </w:rPr>
      </w:pPr>
      <w:r>
        <w:rPr>
          <w:noProof/>
        </w:rPr>
        <w:t>Departmental sales analysis revealed that the Grocery, Fruit &amp; Veg, and Dairy departments are central to revenue, with the Grocery department alone accounting for 47.55% of total purchases. This quantitative insight into departmental dominance could direct marketing resources and inventory optimization efforts.</w:t>
      </w:r>
    </w:p>
    <w:p w14:paraId="19B6839A" w14:textId="77777777" w:rsidR="005C4373" w:rsidRDefault="005C4373" w:rsidP="00030F75">
      <w:pPr>
        <w:jc w:val="both"/>
        <w:rPr>
          <w:noProof/>
        </w:rPr>
      </w:pPr>
    </w:p>
    <w:p w14:paraId="09E35C1A" w14:textId="77777777" w:rsidR="005C4373" w:rsidRDefault="005C4373" w:rsidP="00030F75">
      <w:pPr>
        <w:jc w:val="both"/>
        <w:rPr>
          <w:noProof/>
        </w:rPr>
      </w:pPr>
      <w:r>
        <w:rPr>
          <w:noProof/>
        </w:rPr>
        <w:t>Through cluster analysis, customers were segmented into distinctive groups, where Cluster 3 (44%) represented frequent but smaller-spending shoppers, and Cluster 0 (10%) likely reflected a segment with high spending and visit frequency. Such differentiation offers a blueprint for tailored marketing initiatives.</w:t>
      </w:r>
    </w:p>
    <w:p w14:paraId="72511948" w14:textId="77777777" w:rsidR="005C4373" w:rsidRDefault="005C4373" w:rsidP="00030F75">
      <w:pPr>
        <w:jc w:val="both"/>
        <w:rPr>
          <w:noProof/>
        </w:rPr>
      </w:pPr>
    </w:p>
    <w:p w14:paraId="2C43C843" w14:textId="5DB33F9D" w:rsidR="005C4373" w:rsidRDefault="005C4373" w:rsidP="00030F75">
      <w:pPr>
        <w:jc w:val="both"/>
        <w:rPr>
          <w:noProof/>
        </w:rPr>
      </w:pPr>
      <w:r>
        <w:rPr>
          <w:noProof/>
        </w:rPr>
        <w:t>Our predictive models projected a positive sales trajectory for early 2016, with January expected to bring in around $4.46 million, February slightly less at approximately $4.38 million, and March anticipating a rise to about $4.58 million. These forecasts are pivotal for planning and demonstrate the value of predictive analytics in retail.</w:t>
      </w:r>
    </w:p>
    <w:p w14:paraId="3F668DFA" w14:textId="77777777" w:rsidR="005C4373" w:rsidRDefault="005C4373" w:rsidP="00030F75">
      <w:pPr>
        <w:jc w:val="both"/>
        <w:rPr>
          <w:noProof/>
        </w:rPr>
      </w:pPr>
    </w:p>
    <w:p w14:paraId="5C618F47" w14:textId="77777777" w:rsidR="005C4373" w:rsidRDefault="005C4373" w:rsidP="00030F75">
      <w:pPr>
        <w:jc w:val="both"/>
        <w:rPr>
          <w:noProof/>
        </w:rPr>
      </w:pPr>
      <w:r>
        <w:rPr>
          <w:noProof/>
        </w:rPr>
        <w:t>The price trend analysis for select products during the promotions confirmed the impact of pricing strategies on sales volumes. For instance, mangoes experienced a significant price increase in May, followed by a decrease, suggestive of promotional activity. Meanwhile, bananas showed a high price variability throughout the year, and lettuce prices depicted frequent changes, possibly in response to elastic demand.</w:t>
      </w:r>
    </w:p>
    <w:p w14:paraId="25C2805E" w14:textId="77777777" w:rsidR="005C4373" w:rsidRDefault="005C4373" w:rsidP="005C4373">
      <w:pPr>
        <w:rPr>
          <w:noProof/>
        </w:rPr>
      </w:pPr>
    </w:p>
    <w:p w14:paraId="3147731C" w14:textId="77777777" w:rsidR="005C4373" w:rsidRDefault="005C4373" w:rsidP="005C4373">
      <w:pPr>
        <w:rPr>
          <w:noProof/>
        </w:rPr>
      </w:pPr>
    </w:p>
    <w:p w14:paraId="5908A05E" w14:textId="77777777" w:rsidR="00D32ED1" w:rsidRDefault="00D32ED1" w:rsidP="00E802B5"/>
    <w:sectPr w:rsidR="00D32ED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78CEE" w14:textId="77777777" w:rsidR="0008767E" w:rsidRDefault="0008767E" w:rsidP="00011906">
      <w:pPr>
        <w:spacing w:after="0" w:line="240" w:lineRule="auto"/>
      </w:pPr>
      <w:r>
        <w:separator/>
      </w:r>
    </w:p>
  </w:endnote>
  <w:endnote w:type="continuationSeparator" w:id="0">
    <w:p w14:paraId="08B505EC" w14:textId="77777777" w:rsidR="0008767E" w:rsidRDefault="0008767E" w:rsidP="0001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6946994"/>
      <w:docPartObj>
        <w:docPartGallery w:val="Page Numbers (Bottom of Page)"/>
        <w:docPartUnique/>
      </w:docPartObj>
    </w:sdtPr>
    <w:sdtEndPr>
      <w:rPr>
        <w:noProof/>
      </w:rPr>
    </w:sdtEndPr>
    <w:sdtContent>
      <w:p w14:paraId="5B29E296" w14:textId="39C7D699" w:rsidR="00011906" w:rsidRDefault="000119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08652E" w14:textId="77777777" w:rsidR="00011906" w:rsidRDefault="00011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0F91A" w14:textId="77777777" w:rsidR="0008767E" w:rsidRDefault="0008767E" w:rsidP="00011906">
      <w:pPr>
        <w:spacing w:after="0" w:line="240" w:lineRule="auto"/>
      </w:pPr>
      <w:r>
        <w:separator/>
      </w:r>
    </w:p>
  </w:footnote>
  <w:footnote w:type="continuationSeparator" w:id="0">
    <w:p w14:paraId="0D107558" w14:textId="77777777" w:rsidR="0008767E" w:rsidRDefault="0008767E" w:rsidP="00011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D644E"/>
    <w:multiLevelType w:val="multilevel"/>
    <w:tmpl w:val="C068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0123A"/>
    <w:multiLevelType w:val="multilevel"/>
    <w:tmpl w:val="E008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8F4057"/>
    <w:multiLevelType w:val="hybridMultilevel"/>
    <w:tmpl w:val="F4A06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DA4E12"/>
    <w:multiLevelType w:val="hybridMultilevel"/>
    <w:tmpl w:val="94109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932BB8"/>
    <w:multiLevelType w:val="multilevel"/>
    <w:tmpl w:val="F34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187FA1"/>
    <w:multiLevelType w:val="hybridMultilevel"/>
    <w:tmpl w:val="3496C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8C06E2"/>
    <w:multiLevelType w:val="multilevel"/>
    <w:tmpl w:val="83F8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607F0A"/>
    <w:multiLevelType w:val="multilevel"/>
    <w:tmpl w:val="0B2C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45582D"/>
    <w:multiLevelType w:val="multilevel"/>
    <w:tmpl w:val="D7AA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D72769"/>
    <w:multiLevelType w:val="multilevel"/>
    <w:tmpl w:val="339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F152CC"/>
    <w:multiLevelType w:val="multilevel"/>
    <w:tmpl w:val="38C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219673">
    <w:abstractNumId w:val="7"/>
  </w:num>
  <w:num w:numId="2" w16cid:durableId="2114128870">
    <w:abstractNumId w:val="3"/>
  </w:num>
  <w:num w:numId="3" w16cid:durableId="696660984">
    <w:abstractNumId w:val="6"/>
  </w:num>
  <w:num w:numId="4" w16cid:durableId="1573076103">
    <w:abstractNumId w:val="8"/>
  </w:num>
  <w:num w:numId="5" w16cid:durableId="278070008">
    <w:abstractNumId w:val="2"/>
  </w:num>
  <w:num w:numId="6" w16cid:durableId="729773030">
    <w:abstractNumId w:val="1"/>
  </w:num>
  <w:num w:numId="7" w16cid:durableId="461772452">
    <w:abstractNumId w:val="9"/>
  </w:num>
  <w:num w:numId="8" w16cid:durableId="316955702">
    <w:abstractNumId w:val="5"/>
  </w:num>
  <w:num w:numId="9" w16cid:durableId="1273855951">
    <w:abstractNumId w:val="10"/>
  </w:num>
  <w:num w:numId="10" w16cid:durableId="1176307344">
    <w:abstractNumId w:val="0"/>
  </w:num>
  <w:num w:numId="11" w16cid:durableId="1631473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336F"/>
    <w:rsid w:val="00011906"/>
    <w:rsid w:val="000145E8"/>
    <w:rsid w:val="00030F75"/>
    <w:rsid w:val="0008767E"/>
    <w:rsid w:val="000A1F92"/>
    <w:rsid w:val="000C6185"/>
    <w:rsid w:val="001E4295"/>
    <w:rsid w:val="002A25F1"/>
    <w:rsid w:val="002C2CEC"/>
    <w:rsid w:val="002E427E"/>
    <w:rsid w:val="003073D7"/>
    <w:rsid w:val="003303A9"/>
    <w:rsid w:val="003E2D0C"/>
    <w:rsid w:val="003F5F6A"/>
    <w:rsid w:val="0044263E"/>
    <w:rsid w:val="00464DF1"/>
    <w:rsid w:val="00573006"/>
    <w:rsid w:val="0058342C"/>
    <w:rsid w:val="005C4373"/>
    <w:rsid w:val="005C594D"/>
    <w:rsid w:val="005F0A4E"/>
    <w:rsid w:val="006B3934"/>
    <w:rsid w:val="006D7BD5"/>
    <w:rsid w:val="007102C1"/>
    <w:rsid w:val="00714413"/>
    <w:rsid w:val="007C3FFE"/>
    <w:rsid w:val="007E06ED"/>
    <w:rsid w:val="00892FAA"/>
    <w:rsid w:val="008E0FDD"/>
    <w:rsid w:val="008E2077"/>
    <w:rsid w:val="00900DC7"/>
    <w:rsid w:val="009115B2"/>
    <w:rsid w:val="009134AD"/>
    <w:rsid w:val="00982087"/>
    <w:rsid w:val="009F7D8E"/>
    <w:rsid w:val="00A137AB"/>
    <w:rsid w:val="00AB1EDD"/>
    <w:rsid w:val="00AF683D"/>
    <w:rsid w:val="00B80CAF"/>
    <w:rsid w:val="00B80D14"/>
    <w:rsid w:val="00BA4D80"/>
    <w:rsid w:val="00C41F30"/>
    <w:rsid w:val="00C6336F"/>
    <w:rsid w:val="00C84024"/>
    <w:rsid w:val="00D32ED1"/>
    <w:rsid w:val="00D9554A"/>
    <w:rsid w:val="00DA3678"/>
    <w:rsid w:val="00DE0D22"/>
    <w:rsid w:val="00E802B5"/>
    <w:rsid w:val="00F36210"/>
    <w:rsid w:val="00F73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7A69C9"/>
  <w15:docId w15:val="{64DC7315-D629-4A4A-A878-4BE03FCC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3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3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3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3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3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3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36F"/>
    <w:rPr>
      <w:rFonts w:eastAsiaTheme="majorEastAsia" w:cstheme="majorBidi"/>
      <w:color w:val="272727" w:themeColor="text1" w:themeTint="D8"/>
    </w:rPr>
  </w:style>
  <w:style w:type="paragraph" w:styleId="Title">
    <w:name w:val="Title"/>
    <w:basedOn w:val="Normal"/>
    <w:next w:val="Normal"/>
    <w:link w:val="TitleChar"/>
    <w:uiPriority w:val="10"/>
    <w:qFormat/>
    <w:rsid w:val="00C63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36F"/>
    <w:pPr>
      <w:spacing w:before="160"/>
      <w:jc w:val="center"/>
    </w:pPr>
    <w:rPr>
      <w:i/>
      <w:iCs/>
      <w:color w:val="404040" w:themeColor="text1" w:themeTint="BF"/>
    </w:rPr>
  </w:style>
  <w:style w:type="character" w:customStyle="1" w:styleId="QuoteChar">
    <w:name w:val="Quote Char"/>
    <w:basedOn w:val="DefaultParagraphFont"/>
    <w:link w:val="Quote"/>
    <w:uiPriority w:val="29"/>
    <w:rsid w:val="00C6336F"/>
    <w:rPr>
      <w:i/>
      <w:iCs/>
      <w:color w:val="404040" w:themeColor="text1" w:themeTint="BF"/>
    </w:rPr>
  </w:style>
  <w:style w:type="paragraph" w:styleId="ListParagraph">
    <w:name w:val="List Paragraph"/>
    <w:basedOn w:val="Normal"/>
    <w:uiPriority w:val="34"/>
    <w:qFormat/>
    <w:rsid w:val="00C6336F"/>
    <w:pPr>
      <w:ind w:left="720"/>
      <w:contextualSpacing/>
    </w:pPr>
  </w:style>
  <w:style w:type="character" w:styleId="IntenseEmphasis">
    <w:name w:val="Intense Emphasis"/>
    <w:basedOn w:val="DefaultParagraphFont"/>
    <w:uiPriority w:val="21"/>
    <w:qFormat/>
    <w:rsid w:val="00C6336F"/>
    <w:rPr>
      <w:i/>
      <w:iCs/>
      <w:color w:val="0F4761" w:themeColor="accent1" w:themeShade="BF"/>
    </w:rPr>
  </w:style>
  <w:style w:type="paragraph" w:styleId="IntenseQuote">
    <w:name w:val="Intense Quote"/>
    <w:basedOn w:val="Normal"/>
    <w:next w:val="Normal"/>
    <w:link w:val="IntenseQuoteChar"/>
    <w:uiPriority w:val="30"/>
    <w:qFormat/>
    <w:rsid w:val="00C63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36F"/>
    <w:rPr>
      <w:i/>
      <w:iCs/>
      <w:color w:val="0F4761" w:themeColor="accent1" w:themeShade="BF"/>
    </w:rPr>
  </w:style>
  <w:style w:type="character" w:styleId="IntenseReference">
    <w:name w:val="Intense Reference"/>
    <w:basedOn w:val="DefaultParagraphFont"/>
    <w:uiPriority w:val="32"/>
    <w:qFormat/>
    <w:rsid w:val="00C6336F"/>
    <w:rPr>
      <w:b/>
      <w:bCs/>
      <w:smallCaps/>
      <w:color w:val="0F4761" w:themeColor="accent1" w:themeShade="BF"/>
      <w:spacing w:val="5"/>
    </w:rPr>
  </w:style>
  <w:style w:type="paragraph" w:styleId="NormalWeb">
    <w:name w:val="Normal (Web)"/>
    <w:basedOn w:val="Normal"/>
    <w:uiPriority w:val="99"/>
    <w:semiHidden/>
    <w:unhideWhenUsed/>
    <w:rsid w:val="007144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4413"/>
    <w:rPr>
      <w:b/>
      <w:bCs/>
    </w:rPr>
  </w:style>
  <w:style w:type="character" w:styleId="HTMLCode">
    <w:name w:val="HTML Code"/>
    <w:basedOn w:val="DefaultParagraphFont"/>
    <w:uiPriority w:val="99"/>
    <w:semiHidden/>
    <w:unhideWhenUsed/>
    <w:rsid w:val="00892FAA"/>
    <w:rPr>
      <w:rFonts w:ascii="Courier New" w:eastAsia="Times New Roman" w:hAnsi="Courier New" w:cs="Courier New"/>
      <w:sz w:val="20"/>
      <w:szCs w:val="20"/>
    </w:rPr>
  </w:style>
  <w:style w:type="paragraph" w:styleId="Caption">
    <w:name w:val="caption"/>
    <w:basedOn w:val="Normal"/>
    <w:next w:val="Normal"/>
    <w:uiPriority w:val="35"/>
    <w:unhideWhenUsed/>
    <w:qFormat/>
    <w:rsid w:val="003F5F6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11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906"/>
  </w:style>
  <w:style w:type="paragraph" w:styleId="Footer">
    <w:name w:val="footer"/>
    <w:basedOn w:val="Normal"/>
    <w:link w:val="FooterChar"/>
    <w:uiPriority w:val="99"/>
    <w:unhideWhenUsed/>
    <w:rsid w:val="00011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906"/>
  </w:style>
  <w:style w:type="paragraph" w:styleId="TOCHeading">
    <w:name w:val="TOC Heading"/>
    <w:basedOn w:val="Heading1"/>
    <w:next w:val="Normal"/>
    <w:uiPriority w:val="39"/>
    <w:unhideWhenUsed/>
    <w:qFormat/>
    <w:rsid w:val="00011906"/>
    <w:pPr>
      <w:spacing w:before="240" w:after="0"/>
      <w:outlineLvl w:val="9"/>
    </w:pPr>
    <w:rPr>
      <w:kern w:val="0"/>
      <w:sz w:val="32"/>
      <w:szCs w:val="32"/>
      <w:lang w:val="en-US"/>
    </w:rPr>
  </w:style>
  <w:style w:type="paragraph" w:styleId="TOC1">
    <w:name w:val="toc 1"/>
    <w:basedOn w:val="Normal"/>
    <w:next w:val="Normal"/>
    <w:autoRedefine/>
    <w:uiPriority w:val="39"/>
    <w:unhideWhenUsed/>
    <w:rsid w:val="00011906"/>
    <w:pPr>
      <w:spacing w:after="100"/>
    </w:pPr>
  </w:style>
  <w:style w:type="paragraph" w:styleId="TOC3">
    <w:name w:val="toc 3"/>
    <w:basedOn w:val="Normal"/>
    <w:next w:val="Normal"/>
    <w:autoRedefine/>
    <w:uiPriority w:val="39"/>
    <w:unhideWhenUsed/>
    <w:rsid w:val="00011906"/>
    <w:pPr>
      <w:spacing w:after="100"/>
      <w:ind w:left="440"/>
    </w:pPr>
  </w:style>
  <w:style w:type="character" w:styleId="Hyperlink">
    <w:name w:val="Hyperlink"/>
    <w:basedOn w:val="DefaultParagraphFont"/>
    <w:uiPriority w:val="99"/>
    <w:unhideWhenUsed/>
    <w:rsid w:val="0001190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55644">
      <w:bodyDiv w:val="1"/>
      <w:marLeft w:val="0"/>
      <w:marRight w:val="0"/>
      <w:marTop w:val="0"/>
      <w:marBottom w:val="0"/>
      <w:divBdr>
        <w:top w:val="none" w:sz="0" w:space="0" w:color="auto"/>
        <w:left w:val="none" w:sz="0" w:space="0" w:color="auto"/>
        <w:bottom w:val="none" w:sz="0" w:space="0" w:color="auto"/>
        <w:right w:val="none" w:sz="0" w:space="0" w:color="auto"/>
      </w:divBdr>
    </w:div>
    <w:div w:id="468321582">
      <w:bodyDiv w:val="1"/>
      <w:marLeft w:val="0"/>
      <w:marRight w:val="0"/>
      <w:marTop w:val="0"/>
      <w:marBottom w:val="0"/>
      <w:divBdr>
        <w:top w:val="none" w:sz="0" w:space="0" w:color="auto"/>
        <w:left w:val="none" w:sz="0" w:space="0" w:color="auto"/>
        <w:bottom w:val="none" w:sz="0" w:space="0" w:color="auto"/>
        <w:right w:val="none" w:sz="0" w:space="0" w:color="auto"/>
      </w:divBdr>
    </w:div>
    <w:div w:id="497699400">
      <w:bodyDiv w:val="1"/>
      <w:marLeft w:val="0"/>
      <w:marRight w:val="0"/>
      <w:marTop w:val="0"/>
      <w:marBottom w:val="0"/>
      <w:divBdr>
        <w:top w:val="none" w:sz="0" w:space="0" w:color="auto"/>
        <w:left w:val="none" w:sz="0" w:space="0" w:color="auto"/>
        <w:bottom w:val="none" w:sz="0" w:space="0" w:color="auto"/>
        <w:right w:val="none" w:sz="0" w:space="0" w:color="auto"/>
      </w:divBdr>
    </w:div>
    <w:div w:id="570506455">
      <w:bodyDiv w:val="1"/>
      <w:marLeft w:val="0"/>
      <w:marRight w:val="0"/>
      <w:marTop w:val="0"/>
      <w:marBottom w:val="0"/>
      <w:divBdr>
        <w:top w:val="none" w:sz="0" w:space="0" w:color="auto"/>
        <w:left w:val="none" w:sz="0" w:space="0" w:color="auto"/>
        <w:bottom w:val="none" w:sz="0" w:space="0" w:color="auto"/>
        <w:right w:val="none" w:sz="0" w:space="0" w:color="auto"/>
      </w:divBdr>
    </w:div>
    <w:div w:id="870609101">
      <w:bodyDiv w:val="1"/>
      <w:marLeft w:val="0"/>
      <w:marRight w:val="0"/>
      <w:marTop w:val="0"/>
      <w:marBottom w:val="0"/>
      <w:divBdr>
        <w:top w:val="none" w:sz="0" w:space="0" w:color="auto"/>
        <w:left w:val="none" w:sz="0" w:space="0" w:color="auto"/>
        <w:bottom w:val="none" w:sz="0" w:space="0" w:color="auto"/>
        <w:right w:val="none" w:sz="0" w:space="0" w:color="auto"/>
      </w:divBdr>
    </w:div>
    <w:div w:id="1060592201">
      <w:bodyDiv w:val="1"/>
      <w:marLeft w:val="0"/>
      <w:marRight w:val="0"/>
      <w:marTop w:val="0"/>
      <w:marBottom w:val="0"/>
      <w:divBdr>
        <w:top w:val="none" w:sz="0" w:space="0" w:color="auto"/>
        <w:left w:val="none" w:sz="0" w:space="0" w:color="auto"/>
        <w:bottom w:val="none" w:sz="0" w:space="0" w:color="auto"/>
        <w:right w:val="none" w:sz="0" w:space="0" w:color="auto"/>
      </w:divBdr>
    </w:div>
    <w:div w:id="1079715331">
      <w:bodyDiv w:val="1"/>
      <w:marLeft w:val="0"/>
      <w:marRight w:val="0"/>
      <w:marTop w:val="0"/>
      <w:marBottom w:val="0"/>
      <w:divBdr>
        <w:top w:val="none" w:sz="0" w:space="0" w:color="auto"/>
        <w:left w:val="none" w:sz="0" w:space="0" w:color="auto"/>
        <w:bottom w:val="none" w:sz="0" w:space="0" w:color="auto"/>
        <w:right w:val="none" w:sz="0" w:space="0" w:color="auto"/>
      </w:divBdr>
    </w:div>
    <w:div w:id="1142230089">
      <w:bodyDiv w:val="1"/>
      <w:marLeft w:val="0"/>
      <w:marRight w:val="0"/>
      <w:marTop w:val="0"/>
      <w:marBottom w:val="0"/>
      <w:divBdr>
        <w:top w:val="none" w:sz="0" w:space="0" w:color="auto"/>
        <w:left w:val="none" w:sz="0" w:space="0" w:color="auto"/>
        <w:bottom w:val="none" w:sz="0" w:space="0" w:color="auto"/>
        <w:right w:val="none" w:sz="0" w:space="0" w:color="auto"/>
      </w:divBdr>
    </w:div>
    <w:div w:id="1279219710">
      <w:bodyDiv w:val="1"/>
      <w:marLeft w:val="0"/>
      <w:marRight w:val="0"/>
      <w:marTop w:val="0"/>
      <w:marBottom w:val="0"/>
      <w:divBdr>
        <w:top w:val="none" w:sz="0" w:space="0" w:color="auto"/>
        <w:left w:val="none" w:sz="0" w:space="0" w:color="auto"/>
        <w:bottom w:val="none" w:sz="0" w:space="0" w:color="auto"/>
        <w:right w:val="none" w:sz="0" w:space="0" w:color="auto"/>
      </w:divBdr>
    </w:div>
    <w:div w:id="1434208755">
      <w:bodyDiv w:val="1"/>
      <w:marLeft w:val="0"/>
      <w:marRight w:val="0"/>
      <w:marTop w:val="0"/>
      <w:marBottom w:val="0"/>
      <w:divBdr>
        <w:top w:val="none" w:sz="0" w:space="0" w:color="auto"/>
        <w:left w:val="none" w:sz="0" w:space="0" w:color="auto"/>
        <w:bottom w:val="none" w:sz="0" w:space="0" w:color="auto"/>
        <w:right w:val="none" w:sz="0" w:space="0" w:color="auto"/>
      </w:divBdr>
    </w:div>
    <w:div w:id="1706982593">
      <w:bodyDiv w:val="1"/>
      <w:marLeft w:val="0"/>
      <w:marRight w:val="0"/>
      <w:marTop w:val="0"/>
      <w:marBottom w:val="0"/>
      <w:divBdr>
        <w:top w:val="none" w:sz="0" w:space="0" w:color="auto"/>
        <w:left w:val="none" w:sz="0" w:space="0" w:color="auto"/>
        <w:bottom w:val="none" w:sz="0" w:space="0" w:color="auto"/>
        <w:right w:val="none" w:sz="0" w:space="0" w:color="auto"/>
      </w:divBdr>
    </w:div>
    <w:div w:id="1728261917">
      <w:bodyDiv w:val="1"/>
      <w:marLeft w:val="0"/>
      <w:marRight w:val="0"/>
      <w:marTop w:val="0"/>
      <w:marBottom w:val="0"/>
      <w:divBdr>
        <w:top w:val="none" w:sz="0" w:space="0" w:color="auto"/>
        <w:left w:val="none" w:sz="0" w:space="0" w:color="auto"/>
        <w:bottom w:val="none" w:sz="0" w:space="0" w:color="auto"/>
        <w:right w:val="none" w:sz="0" w:space="0" w:color="auto"/>
      </w:divBdr>
    </w:div>
    <w:div w:id="1832138540">
      <w:bodyDiv w:val="1"/>
      <w:marLeft w:val="0"/>
      <w:marRight w:val="0"/>
      <w:marTop w:val="0"/>
      <w:marBottom w:val="0"/>
      <w:divBdr>
        <w:top w:val="none" w:sz="0" w:space="0" w:color="auto"/>
        <w:left w:val="none" w:sz="0" w:space="0" w:color="auto"/>
        <w:bottom w:val="none" w:sz="0" w:space="0" w:color="auto"/>
        <w:right w:val="none" w:sz="0" w:space="0" w:color="auto"/>
      </w:divBdr>
    </w:div>
    <w:div w:id="2074346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8C26-5BC1-4138-9F35-04C66D0AF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9</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 Patel</dc:creator>
  <cp:keywords/>
  <dc:description/>
  <cp:lastModifiedBy>Patel, Kavan Mayankkumar - patky068</cp:lastModifiedBy>
  <cp:revision>15</cp:revision>
  <dcterms:created xsi:type="dcterms:W3CDTF">2024-04-16T09:26:00Z</dcterms:created>
  <dcterms:modified xsi:type="dcterms:W3CDTF">2024-10-04T04:22:00Z</dcterms:modified>
</cp:coreProperties>
</file>