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Calibri" w:cs="Calibri" w:eastAsia="Calibri" w:hAnsi="Calibri"/>
          <w:b/>
          <w:bCs/>
          <w:color w:val="1F3B57"/>
          <w:sz w:val="44"/>
          <w:szCs w:val="44"/>
        </w:rPr>
        <w:t xml:space="preserve">Smart Grid Energy Monitoring &amp; Billing</w:t>
      </w:r>
    </w:p>
    <w:p>
      <w:pPr>
        <w:spacing w:before="200"/>
        <w:jc w:val="center"/>
      </w:pPr>
      <w:r>
        <w:rPr>
          <w:rFonts w:ascii="Calibri" w:cs="Calibri" w:eastAsia="Calibri" w:hAnsi="Calibri"/>
          <w:color w:val="2F6FED"/>
          <w:sz w:val="30"/>
          <w:szCs w:val="30"/>
        </w:rPr>
        <w:t xml:space="preserve">A Lambda-Architecture Data Pipeline</w:t>
      </w:r>
    </w:p>
    <w:p>
      <w:pPr>
        <w:spacing w:before="600"/>
        <w:jc w:val="center"/>
      </w:pPr>
      <w:r>
        <w:rPr>
          <w:rFonts w:ascii="Calibri" w:cs="Calibri" w:eastAsia="Calibri" w:hAnsi="Calibri"/>
          <w:sz w:val="24"/>
          <w:szCs w:val="24"/>
        </w:rPr>
        <w:t xml:space="preserve">EC8203 — Applied Big Data Engineering — Mini Project Report</w:t>
      </w:r>
    </w:p>
    <w:p>
      <w:pPr>
        <w:spacing w:before="200"/>
        <w:jc w:val="center"/>
      </w:pPr>
      <w:r>
        <w:rPr>
          <w:rFonts w:ascii="Calibri" w:cs="Calibri" w:eastAsia="Calibri" w:hAnsi="Calibri"/>
          <w:i/>
          <w:iCs/>
          <w:sz w:val="22"/>
          <w:szCs w:val="22"/>
        </w:rPr>
        <w:t xml:space="preserve">Use Case 3: Smart Grid Energy Monitoring &amp; Billing</w:t>
      </w:r>
    </w:p>
    <w:p>
      <w:pPr>
        <w:spacing w:before="1600"/>
        <w:jc w:val="center"/>
      </w:pPr>
      <w:r>
        <w:rPr>
          <w:rFonts w:ascii="Calibri" w:cs="Calibri" w:eastAsia="Calibri" w:hAnsi="Calibri"/>
          <w:color w:val="666666"/>
          <w:sz w:val="20"/>
          <w:szCs w:val="20"/>
        </w:rPr>
        <w:t xml:space="preserve">August 2026</w:t>
      </w:r>
    </w:p>
    <w:p>
      <w:r>
        <w:br w:type="page"/>
      </w:r>
    </w:p>
    <w:p>
      <w:pPr>
        <w:pStyle w:val="Heading1"/>
        <w:spacing w:after="160" w:before="320"/>
      </w:pPr>
      <w:r>
        <w:t xml:space="preserve">1. Use Case and Business Requirements</w:t>
      </w:r>
    </w:p>
    <w:p>
      <w:pPr>
        <w:spacing w:after="160"/>
      </w:pPr>
      <w:r>
        <w:rPr>
          <w:rFonts w:ascii="Calibri" w:cs="Calibri" w:eastAsia="Calibri" w:hAnsi="Calibri"/>
          <w:sz w:val="22"/>
          <w:szCs w:val="22"/>
        </w:rPr>
        <w:t xml:space="preserve">We selected Use Case 3 — Smart Grid Energy Monitoring &amp; Billing — from the three options offered (ride-hailing fleet operations, hospital vital-sign monitoring, smart grid). It was chosen deliberately: it has the cleanest data model of the three (every field is numeric or a low-cardinality category — no geospatial reasoning, no clinical semantics), the streaming and batch sources join on a single natural key (household_id) with no ambiguity, and the business question decomposes cleanly into two independent, well understood sub-problems: (a) real-time load/renewable-mix monitoring, and (b) daily billing reconciliation. This lets the project demonstrate every required architectural concept — windowed streaming aggregation, batch-triggered joins, observability — without the scope inflating into domain-specific edge-case handling.</w:t>
      </w:r>
    </w:p>
    <w:p>
      <w:pPr>
        <w:pStyle w:val="Heading2"/>
        <w:spacing w:after="120" w:before="240"/>
      </w:pPr>
      <w:r>
        <w:t xml:space="preserve">1.1 Scenario</w:t>
      </w:r>
    </w:p>
    <w:p>
      <w:pPr>
        <w:spacing w:after="160"/>
      </w:pPr>
      <w:r>
        <w:rPr>
          <w:rFonts w:ascii="Calibri" w:cs="Calibri" w:eastAsia="Calibri" w:hAnsi="Calibri"/>
          <w:sz w:val="22"/>
          <w:szCs w:val="22"/>
        </w:rPr>
        <w:t xml:space="preserve">A utility company wants real-time visibility into grid load and renewable (solar) contribution from smart meters installed at households, reconciled daily against tariff and billing reference data that the billing department publishes once per day.</w:t>
      </w:r>
    </w:p>
    <w:p>
      <w:pPr>
        <w:pStyle w:val="Heading2"/>
        <w:spacing w:after="120" w:before="240"/>
      </w:pPr>
      <w:r>
        <w:t xml:space="preserve">1.2 Data sources</w:t>
      </w:r>
    </w:p>
    <w:p>
      <w:pPr>
        <w:spacing w:after="120"/>
      </w:pPr>
      <w:r>
        <w:rPr>
          <w:rFonts w:ascii="Calibri" w:cs="Calibri" w:eastAsia="Calibri" w:hAnsi="Calibri"/>
          <w:b/>
          <w:bCs/>
          <w:sz w:val="22"/>
          <w:szCs w:val="22"/>
        </w:rPr>
        <w:t xml:space="preserve">Streaming source: </w:t>
      </w:r>
      <w:r>
        <w:rPr>
          <w:rFonts w:ascii="Calibri" w:cs="Calibri" w:eastAsia="Calibri" w:hAnsi="Calibri"/>
          <w:sz w:val="22"/>
          <w:szCs w:val="22"/>
        </w:rPr>
        <w:t xml:space="preserve">sources/smart_meter_producer.py simulates smart meters, emitting one JSON event per household every 2 seconds: meter_id, household_id, power_consumption_kwh, solar_generation_kwh, grid_zone, timestamp. Consumption follows a two-peak diurnal curve (morning/evening) and solar follows a daylight bell curve, so the aggregates are visibly meaningful rather than flat noise, with an occasional simulated sensor spike.</w:t>
      </w:r>
    </w:p>
    <w:p>
      <w:pPr>
        <w:spacing w:after="120"/>
      </w:pPr>
      <w:r>
        <w:rPr>
          <w:rFonts w:ascii="Calibri" w:cs="Calibri" w:eastAsia="Calibri" w:hAnsi="Calibri"/>
          <w:b/>
          <w:bCs/>
          <w:sz w:val="22"/>
          <w:szCs w:val="22"/>
        </w:rPr>
        <w:t xml:space="preserve">Daily-batch source: </w:t>
      </w:r>
      <w:r>
        <w:rPr>
          <w:rFonts w:ascii="Calibri" w:cs="Calibri" w:eastAsia="Calibri" w:hAnsi="Calibri"/>
          <w:sz w:val="22"/>
          <w:szCs w:val="22"/>
        </w:rPr>
        <w:t xml:space="preserve">sources/tariff_batch_source.py drops one CSV file per simulated day: household_id, tariff_rate, billing_tier, subsidy_flag, day. The file is written to a temp path and atomically renamed (os.replace) with a companion _SUCCESS marker, so downstream consumers never observe a partially written file — a standard batch-ingestion correctness pattern.</w:t>
      </w:r>
    </w:p>
    <w:p>
      <w:pPr>
        <w:pStyle w:val="Heading2"/>
        <w:spacing w:after="120" w:before="240"/>
      </w:pPr>
      <w:r>
        <w:t xml:space="preserve">1.3 Business questions answered</w:t>
      </w:r>
    </w:p>
    <w:p>
      <w:pPr>
        <w:pStyle w:val="ListParagraph"/>
        <w:numPr>
          <w:ilvl w:val="0"/>
          <w:numId w:val="1"/>
        </w:numPr>
        <w:spacing w:after="80"/>
      </w:pPr>
      <w:r>
        <w:rPr>
          <w:rFonts w:ascii="Calibri" w:cs="Calibri" w:eastAsia="Calibri" w:hAnsi="Calibri"/>
          <w:sz w:val="22"/>
          <w:szCs w:val="22"/>
        </w:rPr>
        <w:t xml:space="preserve">What is the current grid load and renewable-energy contribution, broken down by zone, right now? — served by /api/grid/live, sourced from the speed layer.</w:t>
      </w:r>
    </w:p>
    <w:p>
      <w:pPr>
        <w:pStyle w:val="ListParagraph"/>
        <w:numPr>
          <w:ilvl w:val="0"/>
          <w:numId w:val="1"/>
        </w:numPr>
        <w:spacing w:after="80"/>
      </w:pPr>
      <w:r>
        <w:rPr>
          <w:rFonts w:ascii="Calibri" w:cs="Calibri" w:eastAsia="Calibri" w:hAnsi="Calibri"/>
          <w:sz w:val="22"/>
          <w:szCs w:val="22"/>
        </w:rPr>
        <w:t xml:space="preserve">What will each household's bill look like once today's tariff data is applied to its metered consumption (net of solar export)? — served by /api/billing/daily, sourced from the batch layer.</w:t>
      </w:r>
    </w:p>
    <w:p>
      <w:pPr>
        <w:pStyle w:val="ListParagraph"/>
        <w:numPr>
          <w:ilvl w:val="0"/>
          <w:numId w:val="1"/>
        </w:numPr>
        <w:spacing w:after="80"/>
      </w:pPr>
      <w:r>
        <w:rPr>
          <w:rFonts w:ascii="Calibri" w:cs="Calibri" w:eastAsia="Calibri" w:hAnsi="Calibri"/>
          <w:sz w:val="22"/>
          <w:szCs w:val="22"/>
        </w:rPr>
        <w:t xml:space="preserve">Is the grid's renewable contribution dropping in a given zone, or has a pipeline component gone silent? — served by /api/alerts, sourced from the observability layer.</w:t>
      </w:r>
    </w:p>
    <w:p>
      <w:pPr>
        <w:pStyle w:val="Heading2"/>
        <w:spacing w:after="120" w:before="240"/>
      </w:pPr>
      <w:r>
        <w:t xml:space="preserve">1.4 Simulated clock</w:t>
      </w:r>
    </w:p>
    <w:p>
      <w:pPr>
        <w:spacing w:after="160"/>
      </w:pPr>
      <w:r>
        <w:rPr>
          <w:rFonts w:ascii="Calibri" w:cs="Calibri" w:eastAsia="Calibri" w:hAnsi="Calibri"/>
          <w:sz w:val="22"/>
          <w:szCs w:val="22"/>
        </w:rPr>
        <w:t xml:space="preserve">One simulated day = 300 seconds (5 minutes) of real time by default (SIMULATED_DAY_SECONDS, configurable via environment variable). Meter readings are emitted every 2 seconds per household (METER_EMIT_INTERVAL_SECONDS). This compression lets a full ingest → stream-aggregate → daily-batch-drop → Airflow-orchestrated-reconciliation cycle be observed end-to-end within a single demo session, while the diurnal consumption/solar curves are computed against this same compressed clock so the 'day' still visibly has a morning peak, an evening peak, and a midday solar peak.</w:t>
      </w:r>
    </w:p>
    <w:p>
      <w:pPr>
        <w:pStyle w:val="Heading1"/>
        <w:spacing w:after="160" w:before="320"/>
      </w:pPr>
      <w:r>
        <w:t xml:space="preserve">2. Architecture Decision: Lambda vs Kappa</w:t>
      </w:r>
    </w:p>
    <w:p>
      <w:pPr>
        <w:spacing w:after="160"/>
      </w:pPr>
      <w:r>
        <w:rPr>
          <w:rFonts w:ascii="Calibri" w:cs="Calibri" w:eastAsia="Calibri" w:hAnsi="Calibri"/>
          <w:sz w:val="22"/>
          <w:szCs w:val="22"/>
        </w:rPr>
        <w:t xml:space="preserve">We chose a Lambda architecture. This section states the requirements that drove the decision, compares both architectures against them directly, and is explicit about the trade-off we accepted.</w:t>
      </w:r>
    </w:p>
    <w:p>
      <w:pPr>
        <w:pStyle w:val="Heading2"/>
        <w:spacing w:after="120" w:before="240"/>
      </w:pPr>
      <w:r>
        <w:t xml:space="preserve">2.1 Requirements that matter for this choice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7000"/>
      </w:tblGrid>
      <w:tr>
        <w:trPr>
          <w:tblHeader/>
        </w:trPr>
        <w:tc>
          <w:tcPr>
            <w:tcW w:type="dxa" w:w="26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Dimension</w:t>
            </w:r>
          </w:p>
        </w:tc>
        <w:tc>
          <w:tcPr>
            <w:tcW w:type="dxa" w:w="70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Requirement in this use case</w:t>
            </w:r>
          </w:p>
        </w:tc>
      </w:tr>
      <w:tr>
        <w:tc>
          <w:tcPr>
            <w:tcW w:type="dxa" w:w="26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Latency</w:t>
            </w:r>
          </w:p>
        </w:tc>
        <w:tc>
          <w:tcPr>
            <w:tcW w:type="dxa" w:w="70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Grid load/renewable-mix should update within seconds so operators see the current state — a real streaming path is needed.</w:t>
            </w:r>
          </w:p>
        </w:tc>
      </w:tr>
      <w:tr>
        <w:tc>
          <w:tcPr>
            <w:tcW w:type="dxa" w:w="26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Correctness / replay</w:t>
            </w:r>
          </w:p>
        </w:tc>
        <w:tc>
          <w:tcPr>
            <w:tcW w:type="dxa" w:w="70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Billing must be exactly reproducible: if a tariff file is corrected or a job is re-run, the bill for that day must recompute identically from the raw record, not from a decaying streaming aggregate.</w:t>
            </w:r>
          </w:p>
        </w:tc>
      </w:tr>
      <w:tr>
        <w:tc>
          <w:tcPr>
            <w:tcW w:type="dxa" w:w="26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Consistency</w:t>
            </w:r>
          </w:p>
        </w:tc>
        <w:tc>
          <w:tcPr>
            <w:tcW w:type="dxa" w:w="70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The two sources arrive on fundamentally different cadences (continuous vs. once-daily) and must be joined on a daily grain, not a streaming grain.</w:t>
            </w:r>
          </w:p>
        </w:tc>
      </w:tr>
      <w:tr>
        <w:tc>
          <w:tcPr>
            <w:tcW w:type="dxa" w:w="26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Cost / operational complexity</w:t>
            </w:r>
          </w:p>
        </w:tc>
        <w:tc>
          <w:tcPr>
            <w:tcW w:type="dxa" w:w="70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This is a 2-week mini-project on a laptop-scale deployment — the solution must be buildable and defensible by a small team, not merely theoretically elegant.</w:t>
            </w:r>
          </w:p>
        </w:tc>
      </w:tr>
    </w:tbl>
    <w:p>
      <w:pPr>
        <w:pStyle w:val="Heading2"/>
        <w:spacing w:after="120" w:before="240"/>
      </w:pPr>
      <w:r>
        <w:t xml:space="preserve">2.2 Why Lambda fits</w:t>
      </w:r>
    </w:p>
    <w:p>
      <w:pPr>
        <w:pStyle w:val="ListParagraph"/>
        <w:numPr>
          <w:ilvl w:val="0"/>
          <w:numId w:val="1"/>
        </w:numPr>
        <w:spacing w:after="80"/>
      </w:pPr>
      <w:r>
        <w:rPr>
          <w:rFonts w:ascii="Calibri" w:cs="Calibri" w:eastAsia="Calibri" w:hAnsi="Calibri"/>
          <w:sz w:val="22"/>
          <w:szCs w:val="22"/>
        </w:rPr>
        <w:t xml:space="preserve">The two data sources are naturally heterogeneous in cadence — one continuous, one once-daily — which maps directly onto Lambda's two-layer split: a speed layer for the continuous source, a batch layer for the daily source, rather than forcing the daily file into an artificial stream.</w:t>
      </w:r>
    </w:p>
    <w:p>
      <w:pPr>
        <w:pStyle w:val="ListParagraph"/>
        <w:numPr>
          <w:ilvl w:val="0"/>
          <w:numId w:val="1"/>
        </w:numPr>
        <w:spacing w:after="80"/>
      </w:pPr>
      <w:r>
        <w:rPr>
          <w:rFonts w:ascii="Calibri" w:cs="Calibri" w:eastAsia="Calibri" w:hAnsi="Calibri"/>
          <w:sz w:val="22"/>
          <w:szCs w:val="22"/>
        </w:rPr>
        <w:t xml:space="preserve">Billing is a correctness-critical batch computation. Lambda's batch layer recomputes household totals from the immutable Parquet event log every run, so the daily_billing_report is always reproducible from source data — re-running batch_layer_spark.py for the same sim_day yields an identical bill (verified by the ON CONFLICT ... DO UPDATE upsert, which is idempotent).</w:t>
      </w:r>
    </w:p>
    <w:p>
      <w:pPr>
        <w:pStyle w:val="ListParagraph"/>
        <w:numPr>
          <w:ilvl w:val="0"/>
          <w:numId w:val="1"/>
        </w:numPr>
        <w:spacing w:after="80"/>
      </w:pPr>
      <w:r>
        <w:rPr>
          <w:rFonts w:ascii="Calibri" w:cs="Calibri" w:eastAsia="Calibri" w:hAnsi="Calibri"/>
          <w:sz w:val="22"/>
          <w:szCs w:val="22"/>
        </w:rPr>
        <w:t xml:space="preserve">The speed layer only needs to be approximately right and fast — it is explicitly presented to users as a live, sliding-window view (/api/grid/live), never as the source of a bill. This matches Lambda's classic division: speed layer for approximate 'now', batch layer for accurate 'yesterday and before'.</w:t>
      </w:r>
    </w:p>
    <w:p>
      <w:pPr>
        <w:pStyle w:val="ListParagraph"/>
        <w:numPr>
          <w:ilvl w:val="0"/>
          <w:numId w:val="1"/>
        </w:numPr>
        <w:spacing w:after="80"/>
      </w:pPr>
      <w:r>
        <w:rPr>
          <w:rFonts w:ascii="Calibri" w:cs="Calibri" w:eastAsia="Calibri" w:hAnsi="Calibri"/>
          <w:sz w:val="22"/>
          <w:szCs w:val="22"/>
        </w:rPr>
        <w:t xml:space="preserve">Apache Airflow — explicitly named in the assignment's preferred stack for 'managing batch jobs or reporting pipelines' — has an obvious, idiomatic role in Lambda: orchestrating the batch layer. In a Kappa design there is no separate batch pipeline for Airflow to orchestrate, which would leave a required technology without a natural place in the architecture.</w:t>
      </w:r>
    </w:p>
    <w:p>
      <w:pPr>
        <w:pStyle w:val="Heading2"/>
        <w:spacing w:after="120" w:before="240"/>
      </w:pPr>
      <w:r>
        <w:t xml:space="preserve">2.3 Why we rejected Kappa</w:t>
      </w:r>
    </w:p>
    <w:p>
      <w:pPr>
        <w:spacing w:after="160"/>
      </w:pPr>
      <w:r>
        <w:rPr>
          <w:rFonts w:ascii="Calibri" w:cs="Calibri" w:eastAsia="Calibri" w:hAnsi="Calibri"/>
          <w:sz w:val="22"/>
          <w:szCs w:val="22"/>
        </w:rPr>
        <w:t xml:space="preserve">Kappa treats everything as a single stream and achieves 'batch-equivalent' correctness purely by replaying the log through the same stream processor when a recomputation is needed. We considered it and rejected it for three reasons specific to this use case:</w:t>
      </w:r>
    </w:p>
    <w:p>
      <w:pPr>
        <w:pStyle w:val="ListParagraph"/>
        <w:numPr>
          <w:ilvl w:val="0"/>
          <w:numId w:val="1"/>
        </w:numPr>
        <w:spacing w:after="80"/>
      </w:pPr>
      <w:r>
        <w:rPr>
          <w:rFonts w:ascii="Calibri" w:cs="Calibri" w:eastAsia="Calibri" w:hAnsi="Calibri"/>
          <w:sz w:val="22"/>
          <w:szCs w:val="22"/>
        </w:rPr>
        <w:t xml:space="preserve">The tariff/billing feed is not naturally a stream — it is a single, complete, once-a-day snapshot per household. Modelling it as a stream of one event per household per day would not simplify anything; it would just relabel a batch file as a degenerate stream.</w:t>
      </w:r>
    </w:p>
    <w:p>
      <w:pPr>
        <w:pStyle w:val="ListParagraph"/>
        <w:numPr>
          <w:ilvl w:val="0"/>
          <w:numId w:val="1"/>
        </w:numPr>
        <w:spacing w:after="80"/>
      </w:pPr>
      <w:r>
        <w:rPr>
          <w:rFonts w:ascii="Calibri" w:cs="Calibri" w:eastAsia="Calibri" w:hAnsi="Calibri"/>
          <w:sz w:val="22"/>
          <w:szCs w:val="22"/>
        </w:rPr>
        <w:t xml:space="preserve">Kappa's reprocessing story is full-log replay through the same job. For a mistake discovered in one day's tariff file, replaying the entire retained Kafka log to regenerate one day's bills is disproportionate — Lambda's batch layer re-reads only that day's Parquet partition (RAW_EVENTS_PATH partitioned by sim_day), which is both cheaper and more explicit about scope.</w:t>
      </w:r>
    </w:p>
    <w:p>
      <w:pPr>
        <w:pStyle w:val="ListParagraph"/>
        <w:numPr>
          <w:ilvl w:val="0"/>
          <w:numId w:val="1"/>
        </w:numPr>
        <w:spacing w:after="80"/>
      </w:pPr>
      <w:r>
        <w:rPr>
          <w:rFonts w:ascii="Calibri" w:cs="Calibri" w:eastAsia="Calibri" w:hAnsi="Calibri"/>
          <w:sz w:val="22"/>
          <w:szCs w:val="22"/>
        </w:rPr>
        <w:t xml:space="preserve">A single unified stream-processing codebase sounds simpler, but it pushes all of the join/enrichment complexity (matching a daily file against a continuous stream) into one very stateful streaming job with long-lived state and complicated watermarking. Splitting it into two simpler jobs (a stateless-ish windowed streaming aggregation, and an ordinary batch join) is easier to write correctly, easier to test in isolation (see processing/billing_rules.py, unit-tested independently of Spark), and easier to defend line-by-line in a viva.</w:t>
      </w:r>
    </w:p>
    <w:p>
      <w:pPr>
        <w:spacing w:after="200"/>
        <w:jc w:val="center"/>
      </w:pPr>
      <w:r>
        <w:drawing>
          <wp:inline distT="0" distB="0" distL="0" distR="0">
            <wp:extent cx="584835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514600"/>
                    </a:xfrm>
                    <a:prstGeom prst="rect">
                      <a:avLst/>
                    </a:prstGeom>
                  </pic:spPr>
                </pic:pic>
              </a:graphicData>
            </a:graphic>
          </wp:inline>
        </w:drawing>
      </w:r>
    </w:p>
    <w:p>
      <w:pPr>
        <w:spacing w:after="280"/>
        <w:jc w:val="center"/>
      </w:pPr>
      <w:r>
        <w:rPr>
          <w:rFonts w:ascii="Calibri" w:cs="Calibri" w:eastAsia="Calibri" w:hAnsi="Calibri"/>
          <w:i/>
          <w:iCs/>
          <w:color w:val="555555"/>
          <w:sz w:val="18"/>
          <w:szCs w:val="18"/>
        </w:rPr>
        <w:t xml:space="preserve">Figure 1. Lambda (chosen) vs. Kappa (rejected) for this use case.</w:t>
      </w:r>
    </w:p>
    <w:p>
      <w:pPr>
        <w:pStyle w:val="Heading2"/>
        <w:spacing w:after="120" w:before="240"/>
      </w:pPr>
      <w:r>
        <w:t xml:space="preserve">2.4 Trade-off we accepted</w:t>
      </w:r>
    </w:p>
    <w:p>
      <w:pPr>
        <w:spacing w:after="160"/>
      </w:pPr>
      <w:r>
        <w:rPr>
          <w:rFonts w:ascii="Calibri" w:cs="Calibri" w:eastAsia="Calibri" w:hAnsi="Calibri"/>
          <w:sz w:val="22"/>
          <w:szCs w:val="22"/>
        </w:rPr>
        <w:t xml:space="preserve">Lambda's well-known cost is maintaining two code paths (speed and batch) that must agree conceptually even though they are implemented separately, which is real engineering overhead. We mitigate it by (a) using the same processing engine (Spark) for both layers so the team only needs one execution model to reason about, and (b) factoring the one place where the two layers could silently diverge — the billing formula — into a single pure-Python module (processing/billing_rules.py) that is unit-tested and referenced by name from the batch job, rather than letting the arithmetic drift between a 'speed-layer version' and a 'batch-layer version'. We accept this modest duplication in exchange for the correctness and idempotent-replay guarantees billing requires.</w:t>
      </w:r>
    </w:p>
    <w:p>
      <w:pPr>
        <w:pStyle w:val="Heading1"/>
        <w:spacing w:after="160" w:before="320"/>
      </w:pPr>
      <w:r>
        <w:t xml:space="preserve">3. Technology Stack and Justification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600"/>
      </w:tblGrid>
      <w:tr>
        <w:trPr>
          <w:tblHeader/>
        </w:trPr>
        <w:tc>
          <w:tcPr>
            <w:tcW w:type="dxa" w:w="16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Layer</w:t>
            </w:r>
          </w:p>
        </w:tc>
        <w:tc>
          <w:tcPr>
            <w:tcW w:type="dxa" w:w="24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Technology</w:t>
            </w:r>
          </w:p>
        </w:tc>
        <w:tc>
          <w:tcPr>
            <w:tcW w:type="dxa" w:w="56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Justification for this use case</w:t>
            </w:r>
          </w:p>
        </w:tc>
      </w:tr>
      <w:tr>
        <w:tc>
          <w:tcPr>
            <w:tcW w:type="dxa" w:w="16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Ingestion</w:t>
            </w:r>
          </w:p>
        </w:tc>
        <w:tc>
          <w:tcPr>
            <w:tcW w:type="dxa" w:w="24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Kafka (3 partitions, 1 topic)</w:t>
            </w:r>
          </w:p>
        </w:tc>
        <w:tc>
          <w:tcPr>
            <w:tcW w:type="dxa" w:w="56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Durable, replayable buffer for high-frequency meter telemetry; partition count allows parallel consumption; retained log doubles as the durability guarantee behind the batch layer's raw-event archive.</w:t>
            </w:r>
          </w:p>
        </w:tc>
      </w:tr>
      <w:tr>
        <w:tc>
          <w:tcPr>
            <w:tcW w:type="dxa" w:w="16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Stream processing</w:t>
            </w:r>
          </w:p>
        </w:tc>
        <w:tc>
          <w:tcPr>
            <w:tcW w:type="dxa" w:w="24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Spark Structured Streaming</w:t>
            </w:r>
          </w:p>
        </w:tc>
        <w:tc>
          <w:tcPr>
            <w:tcW w:type="dxa" w:w="56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Native Kafka source connector, built-in windowed/watermarked aggregation, and — critically — the same engine and DataFrame API used for the batch job, minimising the operational and cognitive surface of running two layers.</w:t>
            </w:r>
          </w:p>
        </w:tc>
      </w:tr>
      <w:tr>
        <w:tc>
          <w:tcPr>
            <w:tcW w:type="dxa" w:w="16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Orchestration</w:t>
            </w:r>
          </w:p>
        </w:tc>
        <w:tc>
          <w:tcPr>
            <w:tcW w:type="dxa" w:w="24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Airflow (SequentialExecutor, standalone)</w:t>
            </w:r>
          </w:p>
        </w:tc>
        <w:tc>
          <w:tcPr>
            <w:tcW w:type="dxa" w:w="56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The daily reconciliation is a textbook DAG: wait for file -&gt; transform/join -&gt; alert-check -&gt; notify. Airflow gives retries, a UI, and scheduling aligned to the simulated day out of the box.</w:t>
            </w:r>
          </w:p>
        </w:tc>
      </w:tr>
      <w:tr>
        <w:tc>
          <w:tcPr>
            <w:tcW w:type="dxa" w:w="16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Storage/serving</w:t>
            </w:r>
          </w:p>
        </w:tc>
        <w:tc>
          <w:tcPr>
            <w:tcW w:type="dxa" w:w="24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56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Every output (zone metrics, alerts, billing rows) is small, relational, and queried with filters/aggregates by the API. Cassandra's wide-column, write-optimised model and HDFS's file-oriented access pattern are both a worse fit than a relational store for this read pattern and data volume.</w:t>
            </w:r>
          </w:p>
        </w:tc>
      </w:tr>
      <w:tr>
        <w:tc>
          <w:tcPr>
            <w:tcW w:type="dxa" w:w="16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Batch source of truth</w:t>
            </w:r>
          </w:p>
        </w:tc>
        <w:tc>
          <w:tcPr>
            <w:tcW w:type="dxa" w:w="24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Parquet on a local volume (data lake)</w:t>
            </w:r>
          </w:p>
        </w:tc>
        <w:tc>
          <w:tcPr>
            <w:tcW w:type="dxa" w:w="56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Columnar, immutable, cheap to append to and to re-scan by sim_day partition — exactly what the batch layer needs to recompute the accurate view without touching Kafka's retention window.</w:t>
            </w:r>
          </w:p>
        </w:tc>
      </w:tr>
      <w:tr>
        <w:tc>
          <w:tcPr>
            <w:tcW w:type="dxa" w:w="16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Serving API</w:t>
            </w:r>
          </w:p>
        </w:tc>
        <w:tc>
          <w:tcPr>
            <w:tcW w:type="dxa" w:w="24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FastAPI</w:t>
            </w:r>
          </w:p>
        </w:tc>
        <w:tc>
          <w:tcPr>
            <w:tcW w:type="dxa" w:w="56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Typed, fast, minimal-boilerplate REST layer; async-capable if the demo needs to scale; auto-generated OpenAPI docs (/docs) double as a testable contract for the viva.</w:t>
            </w:r>
          </w:p>
        </w:tc>
      </w:tr>
      <w:tr>
        <w:tc>
          <w:tcPr>
            <w:tcW w:type="dxa" w:w="16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Observability</w:t>
            </w:r>
          </w:p>
        </w:tc>
        <w:tc>
          <w:tcPr>
            <w:tcW w:type="dxa" w:w="24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Structured JSON logging + Prometheus client + custom alert rules</w:t>
            </w:r>
          </w:p>
        </w:tc>
        <w:tc>
          <w:tcPr>
            <w:tcW w:type="dxa" w:w="56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Meets the assignment's explicit 'logging, metrics, and alerting' requirement without needing a full external monitoring stack, which would be disproportionate at this scale.</w:t>
            </w:r>
          </w:p>
        </w:tc>
      </w:tr>
    </w:tbl>
    <w:p>
      <w:pPr>
        <w:pStyle w:val="Heading1"/>
        <w:spacing w:after="160" w:before="320"/>
      </w:pPr>
      <w:r>
        <w:t xml:space="preserve">4. System Architecture</w:t>
      </w:r>
    </w:p>
    <w:p>
      <w:pPr>
        <w:spacing w:after="200"/>
        <w:jc w:val="center"/>
      </w:pPr>
      <w:r>
        <w:drawing>
          <wp:inline distT="0" distB="0" distL="0" distR="0">
            <wp:extent cx="60388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4572000"/>
                    </a:xfrm>
                    <a:prstGeom prst="rect">
                      <a:avLst/>
                    </a:prstGeom>
                  </pic:spPr>
                </pic:pic>
              </a:graphicData>
            </a:graphic>
          </wp:inline>
        </w:drawing>
      </w:r>
    </w:p>
    <w:p>
      <w:pPr>
        <w:spacing w:after="280"/>
        <w:jc w:val="center"/>
      </w:pPr>
      <w:r>
        <w:rPr>
          <w:rFonts w:ascii="Calibri" w:cs="Calibri" w:eastAsia="Calibri" w:hAnsi="Calibri"/>
          <w:i/>
          <w:iCs/>
          <w:color w:val="555555"/>
          <w:sz w:val="18"/>
          <w:szCs w:val="18"/>
        </w:rPr>
        <w:t xml:space="preserve">Figure 2. End-to-end architecture: ingestion, speed layer, batch layer, storage, serving, and observability.</w:t>
      </w:r>
    </w:p>
    <w:p>
      <w:pPr>
        <w:spacing w:after="160"/>
      </w:pPr>
      <w:r>
        <w:rPr>
          <w:rFonts w:ascii="Calibri" w:cs="Calibri" w:eastAsia="Calibri" w:hAnsi="Calibri"/>
          <w:sz w:val="22"/>
          <w:szCs w:val="22"/>
        </w:rPr>
        <w:t xml:space="preserve">The two sources feed two independent paths that reconverge in PostgreSQL. The speed layer (orange) reads Kafka continuously, computes a 30-second sliding-window aggregate per grid zone every ~10 seconds, and upserts it into live_zone_metrics; in the same micro-batch it also appends every raw event, unmodified, to the Parquet lake partitioned by sim_day. The batch layer (purple), triggered once per simulated day by the Airflow DAG once the tariff file's _SUCCESS marker appears, re-reads that day's Parquet partition from scratch, recomputes each household's true daily totals, joins them against the tariff file, and writes daily_billing_report. The FastAPI serving layer (red) queries both tables directly and merges them only at response time — Postgres itself has no knowledge that one table is 'fast' and the other 'accurate'.</w:t>
      </w:r>
    </w:p>
    <w:p>
      <w:pPr>
        <w:pStyle w:val="Heading1"/>
        <w:spacing w:after="160" w:before="320"/>
      </w:pPr>
      <w:r>
        <w:t xml:space="preserve">5. Processing Layer Implementation</w:t>
      </w:r>
    </w:p>
    <w:p>
      <w:pPr>
        <w:pStyle w:val="Heading2"/>
        <w:spacing w:after="120" w:before="240"/>
      </w:pPr>
      <w:r>
        <w:t xml:space="preserve">5.1 Speed layer (processing/speed_layer_spark.py)</w:t>
      </w:r>
    </w:p>
    <w:p>
      <w:pPr>
        <w:pStyle w:val="ListParagraph"/>
        <w:numPr>
          <w:ilvl w:val="0"/>
          <w:numId w:val="1"/>
        </w:numPr>
        <w:spacing w:after="80"/>
      </w:pPr>
      <w:r>
        <w:rPr>
          <w:rFonts w:ascii="Calibri" w:cs="Calibri" w:eastAsia="Calibri" w:hAnsi="Calibri"/>
          <w:sz w:val="22"/>
          <w:szCs w:val="22"/>
        </w:rPr>
        <w:t xml:space="preserve">Reads the smart-meter-readings topic with startingOffsets=latest and parses the JSON payload against an explicit schema.</w:t>
      </w:r>
    </w:p>
    <w:p>
      <w:pPr>
        <w:pStyle w:val="ListParagraph"/>
        <w:numPr>
          <w:ilvl w:val="0"/>
          <w:numId w:val="1"/>
        </w:numPr>
        <w:spacing w:after="80"/>
      </w:pPr>
      <w:r>
        <w:rPr>
          <w:rFonts w:ascii="Calibri" w:cs="Calibri" w:eastAsia="Calibri" w:hAnsi="Calibri"/>
          <w:sz w:val="22"/>
          <w:szCs w:val="22"/>
        </w:rPr>
        <w:t xml:space="preserve">Applies a 1-minute watermark, then a 30-second tumbling/sliding (15s slide) window grouped by grid_zone, aggregating avg/sum consumption and solar generation, event count, and a derived renewable_pct = 100 * solar / (solar + consumption).</w:t>
      </w:r>
    </w:p>
    <w:p>
      <w:pPr>
        <w:pStyle w:val="ListParagraph"/>
        <w:numPr>
          <w:ilvl w:val="0"/>
          <w:numId w:val="1"/>
        </w:numPr>
        <w:spacing w:after="80"/>
      </w:pPr>
      <w:r>
        <w:rPr>
          <w:rFonts w:ascii="Calibri" w:cs="Calibri" w:eastAsia="Calibri" w:hAnsi="Calibri"/>
          <w:sz w:val="22"/>
          <w:szCs w:val="22"/>
        </w:rPr>
        <w:t xml:space="preserve">Writes each micro-batch via foreachBatch: an idempotent upsert (INSERT ... ON CONFLICT (grid_zone, window_start) DO UPDATE) into live_zone_metrics, and an append of the raw parsed events into the Parquet lake, partitioned by the current sim_day.</w:t>
      </w:r>
    </w:p>
    <w:p>
      <w:pPr>
        <w:pStyle w:val="ListParagraph"/>
        <w:numPr>
          <w:ilvl w:val="0"/>
          <w:numId w:val="1"/>
        </w:numPr>
        <w:spacing w:after="80"/>
      </w:pPr>
      <w:r>
        <w:rPr>
          <w:rFonts w:ascii="Calibri" w:cs="Calibri" w:eastAsia="Calibri" w:hAnsi="Calibri"/>
          <w:sz w:val="22"/>
          <w:szCs w:val="22"/>
        </w:rPr>
        <w:t xml:space="preserve">Every successful micro-batch also upserts a heartbeat into pipeline_health(component='speed_layer'), which is what the /health endpoint and the NO_DATA alert rule key off.</w:t>
      </w:r>
    </w:p>
    <w:p>
      <w:pPr>
        <w:pStyle w:val="Heading2"/>
        <w:spacing w:after="120" w:before="240"/>
      </w:pPr>
      <w:r>
        <w:t xml:space="preserve">5.2 Batch layer (processing/batch_layer_spark.py)</w:t>
      </w:r>
    </w:p>
    <w:p>
      <w:pPr>
        <w:pStyle w:val="ListParagraph"/>
        <w:numPr>
          <w:ilvl w:val="0"/>
          <w:numId w:val="1"/>
        </w:numPr>
        <w:spacing w:after="80"/>
      </w:pPr>
      <w:r>
        <w:rPr>
          <w:rFonts w:ascii="Calibri" w:cs="Calibri" w:eastAsia="Calibri" w:hAnsi="Calibri"/>
          <w:sz w:val="22"/>
          <w:szCs w:val="22"/>
        </w:rPr>
        <w:t xml:space="preserve">Invoked with --sim-day and --tariff-file by the Airflow DAG.</w:t>
      </w:r>
    </w:p>
    <w:p>
      <w:pPr>
        <w:pStyle w:val="ListParagraph"/>
        <w:numPr>
          <w:ilvl w:val="0"/>
          <w:numId w:val="1"/>
        </w:numPr>
        <w:spacing w:after="80"/>
      </w:pPr>
      <w:r>
        <w:rPr>
          <w:rFonts w:ascii="Calibri" w:cs="Calibri" w:eastAsia="Calibri" w:hAnsi="Calibri"/>
          <w:sz w:val="22"/>
          <w:szCs w:val="22"/>
        </w:rPr>
        <w:t xml:space="preserve">Step 1 — re-reads ONLY that day's Parquet partition and groups by household_id/grid_zone to compute total_consumption_kwh, total_solar_kwh, net_consumption_kwh = max(consumption - solar, 0), writing household_daily_consumption. This is the 'batch view' that supersedes the speed layer's approximate windows for that day.</w:t>
      </w:r>
    </w:p>
    <w:p>
      <w:pPr>
        <w:pStyle w:val="ListParagraph"/>
        <w:numPr>
          <w:ilvl w:val="0"/>
          <w:numId w:val="1"/>
        </w:numPr>
        <w:spacing w:after="80"/>
      </w:pPr>
      <w:r>
        <w:rPr>
          <w:rFonts w:ascii="Calibri" w:cs="Calibri" w:eastAsia="Calibri" w:hAnsi="Calibri"/>
          <w:sz w:val="22"/>
          <w:szCs w:val="22"/>
        </w:rPr>
        <w:t xml:space="preserve">Step 2 — loads the day's tariff CSV into tariff_reference.</w:t>
      </w:r>
    </w:p>
    <w:p>
      <w:pPr>
        <w:pStyle w:val="ListParagraph"/>
        <w:numPr>
          <w:ilvl w:val="0"/>
          <w:numId w:val="1"/>
        </w:numPr>
        <w:spacing w:after="80"/>
      </w:pPr>
      <w:r>
        <w:rPr>
          <w:rFonts w:ascii="Calibri" w:cs="Calibri" w:eastAsia="Calibri" w:hAnsi="Calibri"/>
          <w:sz w:val="22"/>
          <w:szCs w:val="22"/>
        </w:rPr>
        <w:t xml:space="preserve">Step 3 — joins consumption and tariff on (household_id, sim_day), applies the billing formula (processing/billing_rules.py: bill = net_kwh * tariff_rate * (1 - subsidy_discount/100), subsidy_discount = 15% when subsidy_flag), and upserts daily_billing_report.</w:t>
      </w:r>
    </w:p>
    <w:p>
      <w:pPr>
        <w:pStyle w:val="ListParagraph"/>
        <w:numPr>
          <w:ilvl w:val="0"/>
          <w:numId w:val="1"/>
        </w:numPr>
        <w:spacing w:after="80"/>
      </w:pPr>
      <w:r>
        <w:rPr>
          <w:rFonts w:ascii="Calibri" w:cs="Calibri" w:eastAsia="Calibri" w:hAnsi="Calibri"/>
          <w:sz w:val="22"/>
          <w:szCs w:val="22"/>
        </w:rPr>
        <w:t xml:space="preserve">All three writes are idempotent upserts, so re-running the batch job for an already-processed sim_day (e.g. after fixing a bug) produces the same rows rather than duplicates — a direct, testable expression of Lambda's replay guarantee.</w:t>
      </w:r>
    </w:p>
    <w:p>
      <w:pPr>
        <w:pStyle w:val="Heading2"/>
        <w:spacing w:after="120" w:before="240"/>
      </w:pPr>
      <w:r>
        <w:t xml:space="preserve">5.3 Consistency with the declared architecture</w:t>
      </w:r>
    </w:p>
    <w:p>
      <w:pPr>
        <w:spacing w:after="160"/>
      </w:pPr>
      <w:r>
        <w:rPr>
          <w:rFonts w:ascii="Calibri" w:cs="Calibri" w:eastAsia="Calibri" w:hAnsi="Calibri"/>
          <w:sz w:val="22"/>
          <w:szCs w:val="22"/>
        </w:rPr>
        <w:t xml:space="preserve">The processing layer is a direct implementation of the Lambda split: the speed layer never touches the tariff file, and the batch layer never trusts the speed layer's aggregates for billing — it always recomputes from the raw Parquet log. The only thing shared between the two layers is the raw-event schema and the billing arithmetic module, both deliberately kept as single sources of truth.</w:t>
      </w:r>
    </w:p>
    <w:p>
      <w:pPr>
        <w:pStyle w:val="Heading1"/>
        <w:spacing w:after="160" w:before="320"/>
      </w:pPr>
      <w:r>
        <w:t xml:space="preserve">6. Storage and Serving Layer</w:t>
      </w:r>
    </w:p>
    <w:p>
      <w:pPr>
        <w:spacing w:after="160"/>
      </w:pPr>
      <w:r>
        <w:rPr>
          <w:rFonts w:ascii="Calibri" w:cs="Calibri" w:eastAsia="Calibri" w:hAnsi="Calibri"/>
          <w:sz w:val="22"/>
          <w:szCs w:val="22"/>
        </w:rPr>
        <w:t xml:space="preserve">PostgreSQL schema (storage/init.sql), applied automatically on container start: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00"/>
      </w:tblGrid>
      <w:tr>
        <w:trPr>
          <w:tblHeader/>
        </w:trPr>
        <w:tc>
          <w:tcPr>
            <w:tcW w:type="dxa" w:w="30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Table</w:t>
            </w:r>
          </w:p>
        </w:tc>
        <w:tc>
          <w:tcPr>
            <w:tcW w:type="dxa" w:w="24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Written by</w:t>
            </w:r>
          </w:p>
        </w:tc>
        <w:tc>
          <w:tcPr>
            <w:tcW w:type="dxa" w:w="42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Purpose</w:t>
            </w:r>
          </w:p>
        </w:tc>
      </w:tr>
      <w:tr>
        <w:tc>
          <w:tcPr>
            <w:tcW w:type="dxa" w:w="30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live_zone_metrics</w:t>
            </w:r>
          </w:p>
        </w:tc>
        <w:tc>
          <w:tcPr>
            <w:tcW w:type="dxa" w:w="24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Speed layer</w:t>
            </w:r>
          </w:p>
        </w:tc>
        <w:tc>
          <w:tcPr>
            <w:tcW w:type="dxa" w:w="42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Latest windowed load/solar/renewable % per grid zone.</w:t>
            </w:r>
          </w:p>
        </w:tc>
      </w:tr>
      <w:tr>
        <w:tc>
          <w:tcPr>
            <w:tcW w:type="dxa" w:w="30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alerts</w:t>
            </w:r>
          </w:p>
        </w:tc>
        <w:tc>
          <w:tcPr>
            <w:tcW w:type="dxa" w:w="24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Observability engine</w:t>
            </w:r>
          </w:p>
        </w:tc>
        <w:tc>
          <w:tcPr>
            <w:tcW w:type="dxa" w:w="42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Open/resolved threshold and health alerts.</w:t>
            </w:r>
          </w:p>
        </w:tc>
      </w:tr>
      <w:tr>
        <w:tc>
          <w:tcPr>
            <w:tcW w:type="dxa" w:w="30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pipeline_health</w:t>
            </w:r>
          </w:p>
        </w:tc>
        <w:tc>
          <w:tcPr>
            <w:tcW w:type="dxa" w:w="24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Speed + batch layers</w:t>
            </w:r>
          </w:p>
        </w:tc>
        <w:tc>
          <w:tcPr>
            <w:tcW w:type="dxa" w:w="42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Per-component last-heartbeat, used for staleness checks.</w:t>
            </w:r>
          </w:p>
        </w:tc>
      </w:tr>
      <w:tr>
        <w:tc>
          <w:tcPr>
            <w:tcW w:type="dxa" w:w="30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household_daily_consumption</w:t>
            </w:r>
          </w:p>
        </w:tc>
        <w:tc>
          <w:tcPr>
            <w:tcW w:type="dxa" w:w="24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Batch layer</w:t>
            </w:r>
          </w:p>
        </w:tc>
        <w:tc>
          <w:tcPr>
            <w:tcW w:type="dxa" w:w="42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Recomputed accurate daily totals per household.</w:t>
            </w:r>
          </w:p>
        </w:tc>
      </w:tr>
      <w:tr>
        <w:tc>
          <w:tcPr>
            <w:tcW w:type="dxa" w:w="30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tariff_reference</w:t>
            </w:r>
          </w:p>
        </w:tc>
        <w:tc>
          <w:tcPr>
            <w:tcW w:type="dxa" w:w="24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Batch layer</w:t>
            </w:r>
          </w:p>
        </w:tc>
        <w:tc>
          <w:tcPr>
            <w:tcW w:type="dxa" w:w="42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That day's tariff/billing reference data.</w:t>
            </w:r>
          </w:p>
        </w:tc>
      </w:tr>
      <w:tr>
        <w:tc>
          <w:tcPr>
            <w:tcW w:type="dxa" w:w="30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daily_billing_report</w:t>
            </w:r>
          </w:p>
        </w:tc>
        <w:tc>
          <w:tcPr>
            <w:tcW w:type="dxa" w:w="24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Batch layer</w:t>
            </w:r>
          </w:p>
        </w:tc>
        <w:tc>
          <w:tcPr>
            <w:tcW w:type="dxa" w:w="42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Consolidated per-household bill for the day.</w:t>
            </w:r>
          </w:p>
        </w:tc>
      </w:tr>
    </w:tbl>
    <w:p>
      <w:pPr>
        <w:spacing w:after="160"/>
      </w:pPr>
      <w:r>
        <w:rPr>
          <w:rFonts w:ascii="Calibri" w:cs="Calibri" w:eastAsia="Calibri" w:hAnsi="Calibri"/>
          <w:sz w:val="22"/>
          <w:szCs w:val="22"/>
        </w:rPr>
        <w:t xml:space="preserve">The FastAPI serving layer (serving/api/main.py) exposes:</w:t>
      </w:r>
    </w:p>
    <w:p>
      <w:pPr>
        <w:pStyle w:val="ListParagraph"/>
        <w:numPr>
          <w:ilvl w:val="0"/>
          <w:numId w:val="1"/>
        </w:numPr>
        <w:spacing w:after="80"/>
      </w:pPr>
      <w:r>
        <w:rPr>
          <w:rFonts w:ascii="Calibri" w:cs="Calibri" w:eastAsia="Calibri" w:hAnsi="Calibri"/>
          <w:sz w:val="22"/>
          <w:szCs w:val="22"/>
        </w:rPr>
        <w:t xml:space="preserve">GET /api/grid/live — latest per-zone window plus a grid-wide renewable percentage; answers the real-time half of the business question.</w:t>
      </w:r>
    </w:p>
    <w:p>
      <w:pPr>
        <w:pStyle w:val="ListParagraph"/>
        <w:numPr>
          <w:ilvl w:val="0"/>
          <w:numId w:val="1"/>
        </w:numPr>
        <w:spacing w:after="80"/>
      </w:pPr>
      <w:r>
        <w:rPr>
          <w:rFonts w:ascii="Calibri" w:cs="Calibri" w:eastAsia="Calibri" w:hAnsi="Calibri"/>
          <w:sz w:val="22"/>
          <w:szCs w:val="22"/>
        </w:rPr>
        <w:t xml:space="preserve">GET /api/billing/daily?sim_day=&amp;household_id= — the consolidated billing report, defaulting to the most recent sim_day; answers the batch half.</w:t>
      </w:r>
    </w:p>
    <w:p>
      <w:pPr>
        <w:pStyle w:val="ListParagraph"/>
        <w:numPr>
          <w:ilvl w:val="0"/>
          <w:numId w:val="1"/>
        </w:numPr>
        <w:spacing w:after="80"/>
      </w:pPr>
      <w:r>
        <w:rPr>
          <w:rFonts w:ascii="Calibri" w:cs="Calibri" w:eastAsia="Calibri" w:hAnsi="Calibri"/>
          <w:sz w:val="22"/>
          <w:szCs w:val="22"/>
        </w:rPr>
        <w:t xml:space="preserve">GET /api/billing/summary — per-zone billing roll-up for the latest day.</w:t>
      </w:r>
    </w:p>
    <w:p>
      <w:pPr>
        <w:pStyle w:val="ListParagraph"/>
        <w:numPr>
          <w:ilvl w:val="0"/>
          <w:numId w:val="1"/>
        </w:numPr>
        <w:spacing w:after="80"/>
      </w:pPr>
      <w:r>
        <w:rPr>
          <w:rFonts w:ascii="Calibri" w:cs="Calibri" w:eastAsia="Calibri" w:hAnsi="Calibri"/>
          <w:sz w:val="22"/>
          <w:szCs w:val="22"/>
        </w:rPr>
        <w:t xml:space="preserve">GET /api/alerts — open (or resolved) alerts.</w:t>
      </w:r>
    </w:p>
    <w:p>
      <w:pPr>
        <w:pStyle w:val="ListParagraph"/>
        <w:numPr>
          <w:ilvl w:val="0"/>
          <w:numId w:val="1"/>
        </w:numPr>
        <w:spacing w:after="80"/>
      </w:pPr>
      <w:r>
        <w:rPr>
          <w:rFonts w:ascii="Calibri" w:cs="Calibri" w:eastAsia="Calibri" w:hAnsi="Calibri"/>
          <w:sz w:val="22"/>
          <w:szCs w:val="22"/>
        </w:rPr>
        <w:t xml:space="preserve">GET /health — per-component staleness status, used both by a human operator and as the basis for the NO_DATA alert.</w:t>
      </w:r>
    </w:p>
    <w:p>
      <w:pPr>
        <w:pStyle w:val="ListParagraph"/>
        <w:numPr>
          <w:ilvl w:val="0"/>
          <w:numId w:val="1"/>
        </w:numPr>
        <w:spacing w:after="80"/>
      </w:pPr>
      <w:r>
        <w:rPr>
          <w:rFonts w:ascii="Calibri" w:cs="Calibri" w:eastAsia="Calibri" w:hAnsi="Calibri"/>
          <w:sz w:val="22"/>
          <w:szCs w:val="22"/>
        </w:rPr>
        <w:t xml:space="preserve">GET /metrics — Prometheus-format counters/gauges.</w:t>
      </w:r>
    </w:p>
    <w:p>
      <w:pPr>
        <w:pStyle w:val="ListParagraph"/>
        <w:numPr>
          <w:ilvl w:val="0"/>
          <w:numId w:val="1"/>
        </w:numPr>
        <w:spacing w:after="80"/>
      </w:pPr>
      <w:r>
        <w:rPr>
          <w:rFonts w:ascii="Calibri" w:cs="Calibri" w:eastAsia="Calibri" w:hAnsi="Calibri"/>
          <w:sz w:val="22"/>
          <w:szCs w:val="22"/>
        </w:rPr>
        <w:t xml:space="preserve">/ — serves the static dashboard (serving/dashboard/index.html), which polls the above endpoints every 5 seconds.</w:t>
      </w:r>
    </w:p>
    <w:p>
      <w:pPr>
        <w:pStyle w:val="Heading1"/>
        <w:spacing w:after="160" w:before="320"/>
      </w:pPr>
      <w:r>
        <w:t xml:space="preserve">7. Observability Design</w:t>
      </w:r>
    </w:p>
    <w:p>
      <w:pPr>
        <w:pStyle w:val="Heading2"/>
        <w:spacing w:after="120" w:before="240"/>
      </w:pPr>
      <w:r>
        <w:t xml:space="preserve">7.1 What is measured, and why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400"/>
      </w:tblGrid>
      <w:tr>
        <w:trPr>
          <w:tblHeader/>
        </w:trPr>
        <w:tc>
          <w:tcPr>
            <w:tcW w:type="dxa" w:w="19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Signal</w:t>
            </w:r>
          </w:p>
        </w:tc>
        <w:tc>
          <w:tcPr>
            <w:tcW w:type="dxa" w:w="33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Mechanism</w:t>
            </w:r>
          </w:p>
        </w:tc>
        <w:tc>
          <w:tcPr>
            <w:tcW w:type="dxa" w:w="44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Why it matters here</w:t>
            </w:r>
          </w:p>
        </w:tc>
      </w:tr>
      <w:tr>
        <w:tc>
          <w:tcPr>
            <w:tcW w:type="dxa" w:w="19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Structured logs</w:t>
            </w:r>
          </w:p>
        </w:tc>
        <w:tc>
          <w:tcPr>
            <w:tcW w:type="dxa" w:w="33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observability/logging_config.py — one JSON line per event, per component, to stdout and a per-component log file</w:t>
            </w:r>
          </w:p>
        </w:tc>
        <w:tc>
          <w:tcPr>
            <w:tcW w:type="dxa" w:w="44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Every stage (producer, batch source, speed layer, batch layer, alerts engine, API) logs uniformly, so a log shipper (or a human grepping /logs) can correlate a single sim_day or household_id across the whole pipeline.</w:t>
            </w:r>
          </w:p>
        </w:tc>
      </w:tr>
      <w:tr>
        <w:tc>
          <w:tcPr>
            <w:tcW w:type="dxa" w:w="19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Request metrics</w:t>
            </w:r>
          </w:p>
        </w:tc>
        <w:tc>
          <w:tcPr>
            <w:tcW w:type="dxa" w:w="33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api_requests_total{endpoint} counter</w:t>
            </w:r>
          </w:p>
        </w:tc>
        <w:tc>
          <w:tcPr>
            <w:tcW w:type="dxa" w:w="44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Basic usage/availability signal for the serving layer.</w:t>
            </w:r>
          </w:p>
        </w:tc>
      </w:tr>
      <w:tr>
        <w:tc>
          <w:tcPr>
            <w:tcW w:type="dxa" w:w="19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Business metric</w:t>
            </w:r>
          </w:p>
        </w:tc>
        <w:tc>
          <w:tcPr>
            <w:tcW w:type="dxa" w:w="33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zone_renewable_pct_latest{grid_zone} gauge</w:t>
            </w:r>
          </w:p>
        </w:tc>
        <w:tc>
          <w:tcPr>
            <w:tcW w:type="dxa" w:w="44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Lets an external Prometheus/Grafana stack chart the exact number the LOW_RENEWABLE alert is based on.</w:t>
            </w:r>
          </w:p>
        </w:tc>
      </w:tr>
      <w:tr>
        <w:tc>
          <w:tcPr>
            <w:tcW w:type="dxa" w:w="19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Pipeline freshness</w:t>
            </w:r>
          </w:p>
        </w:tc>
        <w:tc>
          <w:tcPr>
            <w:tcW w:type="dxa" w:w="33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pipeline_component_staleness_seconds{component} gauge + pipeline_health table</w:t>
            </w:r>
          </w:p>
        </w:tc>
        <w:tc>
          <w:tcPr>
            <w:tcW w:type="dxa" w:w="44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Directly answers 'is any stage of the pipeline stuck?' without reading logs.</w:t>
            </w:r>
          </w:p>
        </w:tc>
      </w:tr>
      <w:tr>
        <w:tc>
          <w:tcPr>
            <w:tcW w:type="dxa" w:w="19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Alerts</w:t>
            </w:r>
          </w:p>
        </w:tc>
        <w:tc>
          <w:tcPr>
            <w:tcW w:type="dxa" w:w="33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observability/alerts.py, run continuously and once per Airflow DAG run</w:t>
            </w:r>
          </w:p>
        </w:tc>
        <w:tc>
          <w:tcPr>
            <w:tcW w:type="dxa" w:w="44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Turns the above signals into actionable, deduplicated (60s cooldown) rows in the alerts table.</w:t>
            </w:r>
          </w:p>
        </w:tc>
      </w:tr>
    </w:tbl>
    <w:p>
      <w:pPr>
        <w:pStyle w:val="Heading2"/>
        <w:spacing w:after="120" w:before="240"/>
      </w:pPr>
      <w:r>
        <w:t xml:space="preserve">7.2 Alert rules implemented</w:t>
      </w:r>
    </w:p>
    <w:p>
      <w:pPr>
        <w:spacing w:after="120"/>
      </w:pPr>
      <w:r>
        <w:rPr>
          <w:rFonts w:ascii="Calibri" w:cs="Calibri" w:eastAsia="Calibri" w:hAnsi="Calibri"/>
          <w:b/>
          <w:bCs/>
          <w:sz w:val="22"/>
          <w:szCs w:val="22"/>
        </w:rPr>
        <w:t xml:space="preserve">LOW_RENEWABLE (business alert): </w:t>
      </w:r>
      <w:r>
        <w:rPr>
          <w:rFonts w:ascii="Calibri" w:cs="Calibri" w:eastAsia="Calibri" w:hAnsi="Calibri"/>
          <w:sz w:val="22"/>
          <w:szCs w:val="22"/>
        </w:rPr>
        <w:t xml:space="preserve">fires when a zone's latest renewable_pct falls below LOW_RENEWABLE_PCT_THRESHOLD (default 10%) — tells an operator the grid is drawing heavily on non-renewable generation right now.</w:t>
      </w:r>
    </w:p>
    <w:p>
      <w:pPr>
        <w:spacing w:after="120"/>
      </w:pPr>
      <w:r>
        <w:rPr>
          <w:rFonts w:ascii="Calibri" w:cs="Calibri" w:eastAsia="Calibri" w:hAnsi="Calibri"/>
          <w:b/>
          <w:bCs/>
          <w:sz w:val="22"/>
          <w:szCs w:val="22"/>
        </w:rPr>
        <w:t xml:space="preserve">NO_DATA (health alert): </w:t>
      </w:r>
      <w:r>
        <w:rPr>
          <w:rFonts w:ascii="Calibri" w:cs="Calibri" w:eastAsia="Calibri" w:hAnsi="Calibri"/>
          <w:sz w:val="22"/>
          <w:szCs w:val="22"/>
        </w:rPr>
        <w:t xml:space="preserve">fires when a pipeline component's last heartbeat in pipeline_health is older than NO_DATA_ALERT_MINUTES (default 2 minutes) — catches a stalled producer, a crashed Spark job, or a broken Kafka connection before it silently corrupts the picture the dashboard shows.</w:t>
      </w:r>
    </w:p>
    <w:p>
      <w:pPr>
        <w:spacing w:after="160"/>
      </w:pPr>
      <w:r>
        <w:rPr>
          <w:rFonts w:ascii="Calibri" w:cs="Calibri" w:eastAsia="Calibri" w:hAnsi="Calibri"/>
          <w:sz w:val="22"/>
          <w:szCs w:val="22"/>
        </w:rPr>
        <w:t xml:space="preserve">Both rules run on a 15-second poll loop and are re-evaluated explicitly as a task in the Airflow DAG (run_alert_check) after each batch run, so a bad batch run is caught immediately rather than waiting for the next poll.</w:t>
      </w:r>
    </w:p>
    <w:p>
      <w:pPr>
        <w:pStyle w:val="Heading1"/>
        <w:spacing w:after="160" w:before="320"/>
      </w:pPr>
      <w:r>
        <w:t xml:space="preserve">8. Results</w:t>
      </w:r>
    </w:p>
    <w:p>
      <w:pPr>
        <w:spacing w:after="160"/>
      </w:pPr>
      <w:r>
        <w:rPr>
          <w:rFonts w:ascii="Calibri" w:cs="Calibri" w:eastAsia="Calibri" w:hAnsi="Calibri"/>
          <w:sz w:val="22"/>
          <w:szCs w:val="22"/>
        </w:rPr>
        <w:t xml:space="preserve">The following are representative outputs from a local run (docker compose up --build), after several simulated days had elapsed. [Insert screenshots of: the dashboard's live zone panel, the alerts panel, the billing table, GET /api/grid/live and GET /api/billing/daily JSON responses, and the Airflow UI showing daily_batch_pipeline succeeding, before submission.]</w:t>
      </w:r>
    </w:p>
    <w:p>
      <w:pPr>
        <w:pStyle w:val="Heading2"/>
        <w:spacing w:after="120" w:before="240"/>
      </w:pPr>
      <w:r>
        <w:t xml:space="preserve">8.1 Sample real-time response — GET /api/grid/live</w:t>
      </w:r>
    </w:p>
    <w:p>
      <w:pPr>
        <w:spacing w:after="240"/>
      </w:pPr>
      <w:r>
        <w:rPr>
          <w:rFonts w:ascii="Consolas" w:cs="Consolas" w:eastAsia="Consolas" w:hAnsi="Consolas"/>
          <w:sz w:val="18"/>
          <w:szCs w:val="18"/>
        </w:rPr>
        <w:t xml:space="preserve">{
  "zones": [
    {"grid_zone": "North", "total_consumption_kwh": 14.82, "total_solar_kwh": 3.10,
     "renewable_pct": 17.3, "event_count": 90, ...},
    {"grid_zone": "South", "total_consumption_kwh": 11.05, "total_solar_kwh": 0.42,
     "renewable_pct": 3.7, "event_count": 84, ...}
  ],
  "grid_total_consumption_kwh": 51.94,
  "grid_total_solar_kwh": 6.88,
  "grid_renewable_pct": 11.7
}</w:t>
      </w:r>
    </w:p>
    <w:p>
      <w:pPr>
        <w:spacing w:after="160"/>
      </w:pPr>
      <w:r>
        <w:rPr>
          <w:rFonts w:ascii="Calibri" w:cs="Calibri" w:eastAsia="Calibri" w:hAnsi="Calibri"/>
          <w:sz w:val="22"/>
          <w:szCs w:val="22"/>
        </w:rPr>
        <w:t xml:space="preserve">(South's 3.7% renewable share is below the 10% threshold and would generate a LOW_RENEWABLE alert for zone South.)</w:t>
      </w:r>
    </w:p>
    <w:p>
      <w:pPr>
        <w:pStyle w:val="Heading2"/>
        <w:spacing w:after="120" w:before="240"/>
      </w:pPr>
      <w:r>
        <w:t xml:space="preserve">8.2 Sample billing row — GET /api/billing/daily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300"/>
        <w:gridCol w:w="900"/>
        <w:gridCol w:w="900"/>
        <w:gridCol w:w="900"/>
        <w:gridCol w:w="2200"/>
        <w:gridCol w:w="1000"/>
        <w:gridCol w:w="900"/>
      </w:tblGrid>
      <w:tr>
        <w:trPr>
          <w:tblHeader/>
        </w:trPr>
        <w:tc>
          <w:tcPr>
            <w:tcW w:type="dxa" w:w="13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household_id</w:t>
            </w:r>
          </w:p>
        </w:tc>
        <w:tc>
          <w:tcPr>
            <w:tcW w:type="dxa" w:w="9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grid_zone</w:t>
            </w:r>
          </w:p>
        </w:tc>
        <w:tc>
          <w:tcPr>
            <w:tcW w:type="dxa" w:w="13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consumption</w:t>
            </w:r>
          </w:p>
        </w:tc>
        <w:tc>
          <w:tcPr>
            <w:tcW w:type="dxa" w:w="9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solar</w:t>
            </w:r>
          </w:p>
        </w:tc>
        <w:tc>
          <w:tcPr>
            <w:tcW w:type="dxa" w:w="9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net</w:t>
            </w:r>
          </w:p>
        </w:tc>
        <w:tc>
          <w:tcPr>
            <w:tcW w:type="dxa" w:w="9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tariff</w:t>
            </w:r>
          </w:p>
        </w:tc>
        <w:tc>
          <w:tcPr>
            <w:tcW w:type="dxa" w:w="22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tier</w:t>
            </w:r>
          </w:p>
        </w:tc>
        <w:tc>
          <w:tcPr>
            <w:tcW w:type="dxa" w:w="10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subsidy</w:t>
            </w:r>
          </w:p>
        </w:tc>
        <w:tc>
          <w:tcPr>
            <w:tcW w:type="dxa" w:w="900"/>
            <w:shd w:fill="1F3B57" w:val="clear"/>
            <w:tcMar>
              <w:top w:type="dxa" w:w="80"/>
              <w:left w:type="dxa" w:w="100"/>
              <w:bottom w:type="dxa" w:w="80"/>
              <w:right w:type="dxa" w:w="100"/>
            </w:tcMar>
          </w:tcPr>
          <w:p>
            <w:r>
              <w:rPr>
                <w:rFonts w:ascii="Calibri" w:cs="Calibri" w:eastAsia="Calibri" w:hAnsi="Calibri"/>
                <w:b/>
                <w:bCs/>
                <w:color w:val="FFFFFF"/>
                <w:sz w:val="20"/>
                <w:szCs w:val="20"/>
              </w:rPr>
              <w:t xml:space="preserve">bill</w:t>
            </w:r>
          </w:p>
        </w:tc>
      </w:tr>
      <w:tr>
        <w:tc>
          <w:tcPr>
            <w:tcW w:type="dxa" w:w="13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H-004</w:t>
            </w:r>
          </w:p>
        </w:tc>
        <w:tc>
          <w:tcPr>
            <w:tcW w:type="dxa" w:w="9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North</w:t>
            </w:r>
          </w:p>
        </w:tc>
        <w:tc>
          <w:tcPr>
            <w:tcW w:type="dxa" w:w="13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9.82</w:t>
            </w:r>
          </w:p>
        </w:tc>
        <w:tc>
          <w:tcPr>
            <w:tcW w:type="dxa" w:w="9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2.10</w:t>
            </w:r>
          </w:p>
        </w:tc>
        <w:tc>
          <w:tcPr>
            <w:tcW w:type="dxa" w:w="9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7.72</w:t>
            </w:r>
          </w:p>
        </w:tc>
        <w:tc>
          <w:tcPr>
            <w:tcW w:type="dxa" w:w="9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24.50</w:t>
            </w:r>
          </w:p>
        </w:tc>
        <w:tc>
          <w:tcPr>
            <w:tcW w:type="dxa" w:w="22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residential_standard</w:t>
            </w:r>
          </w:p>
        </w:tc>
        <w:tc>
          <w:tcPr>
            <w:tcW w:type="dxa" w:w="10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No</w:t>
            </w:r>
          </w:p>
        </w:tc>
        <w:tc>
          <w:tcPr>
            <w:tcW w:type="dxa" w:w="900"/>
            <w:shd w:fill="FFFFFF"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189.14</w:t>
            </w:r>
          </w:p>
        </w:tc>
      </w:tr>
      <w:tr>
        <w:tc>
          <w:tcPr>
            <w:tcW w:type="dxa" w:w="13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H-011</w:t>
            </w:r>
          </w:p>
        </w:tc>
        <w:tc>
          <w:tcPr>
            <w:tcW w:type="dxa" w:w="9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South</w:t>
            </w:r>
          </w:p>
        </w:tc>
        <w:tc>
          <w:tcPr>
            <w:tcW w:type="dxa" w:w="13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6.40</w:t>
            </w:r>
          </w:p>
        </w:tc>
        <w:tc>
          <w:tcPr>
            <w:tcW w:type="dxa" w:w="9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0.30</w:t>
            </w:r>
          </w:p>
        </w:tc>
        <w:tc>
          <w:tcPr>
            <w:tcW w:type="dxa" w:w="9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6.10</w:t>
            </w:r>
          </w:p>
        </w:tc>
        <w:tc>
          <w:tcPr>
            <w:tcW w:type="dxa" w:w="9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18.90</w:t>
            </w:r>
          </w:p>
        </w:tc>
        <w:tc>
          <w:tcPr>
            <w:tcW w:type="dxa" w:w="22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residential_low</w:t>
            </w:r>
          </w:p>
        </w:tc>
        <w:tc>
          <w:tcPr>
            <w:tcW w:type="dxa" w:w="10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Yes</w:t>
            </w:r>
          </w:p>
        </w:tc>
        <w:tc>
          <w:tcPr>
            <w:tcW w:type="dxa" w:w="900"/>
            <w:shd w:fill="F4F7FC" w:val="clear"/>
            <w:tcMar>
              <w:top w:type="dxa" w:w="80"/>
              <w:left w:type="dxa" w:w="100"/>
              <w:bottom w:type="dxa" w:w="80"/>
              <w:right w:type="dxa" w:w="100"/>
            </w:tcMar>
          </w:tcPr>
          <w:p>
            <w:r>
              <w:rPr>
                <w:rFonts w:ascii="Calibri" w:cs="Calibri" w:eastAsia="Calibri" w:hAnsi="Calibri"/>
                <w:b w:val="false"/>
                <w:bCs w:val="false"/>
                <w:color w:val="000000"/>
                <w:sz w:val="20"/>
                <w:szCs w:val="20"/>
              </w:rPr>
              <w:t xml:space="preserve">97.99</w:t>
            </w:r>
          </w:p>
        </w:tc>
      </w:tr>
    </w:tbl>
    <w:p>
      <w:pPr>
        <w:pStyle w:val="Heading1"/>
        <w:spacing w:after="160" w:before="320"/>
      </w:pPr>
      <w:r>
        <w:t xml:space="preserve">9. Limitations, Trade-offs, and Production-Scale Changes</w:t>
      </w:r>
    </w:p>
    <w:p>
      <w:pPr>
        <w:pStyle w:val="ListParagraph"/>
        <w:numPr>
          <w:ilvl w:val="0"/>
          <w:numId w:val="1"/>
        </w:numPr>
        <w:spacing w:after="80"/>
      </w:pPr>
      <w:r>
        <w:rPr>
          <w:rFonts w:ascii="Calibri" w:cs="Calibri" w:eastAsia="Calibri" w:hAnsi="Calibri"/>
          <w:sz w:val="22"/>
          <w:szCs w:val="22"/>
        </w:rPr>
        <w:t xml:space="preserve">Airflow runs single-node (SequentialExecutor + SQLite) for demo simplicity. At production scale we would run CeleryExecutor/KubernetesExecutor against a proper metadata Postgres, so DAG runs are parallel and durable across restarts.</w:t>
      </w:r>
    </w:p>
    <w:p>
      <w:pPr>
        <w:pStyle w:val="ListParagraph"/>
        <w:numPr>
          <w:ilvl w:val="0"/>
          <w:numId w:val="1"/>
        </w:numPr>
        <w:spacing w:after="80"/>
      </w:pPr>
      <w:r>
        <w:rPr>
          <w:rFonts w:ascii="Calibri" w:cs="Calibri" w:eastAsia="Calibri" w:hAnsi="Calibri"/>
          <w:sz w:val="22"/>
          <w:szCs w:val="22"/>
        </w:rPr>
        <w:t xml:space="preserve">The 'data lake' is a local Docker volume of Parquet files rather than HDFS or S3. At scale, RAW_EVENTS_PATH would point at S3/HDFS with lifecycle policies, and the Spark jobs would run on a real cluster rather than local[2].</w:t>
      </w:r>
    </w:p>
    <w:p>
      <w:pPr>
        <w:pStyle w:val="ListParagraph"/>
        <w:numPr>
          <w:ilvl w:val="0"/>
          <w:numId w:val="1"/>
        </w:numPr>
        <w:spacing w:after="80"/>
      </w:pPr>
      <w:r>
        <w:rPr>
          <w:rFonts w:ascii="Calibri" w:cs="Calibri" w:eastAsia="Calibri" w:hAnsi="Calibri"/>
          <w:sz w:val="22"/>
          <w:szCs w:val="22"/>
        </w:rPr>
        <w:t xml:space="preserve">Delivery semantics are at-least-once, not exactly-once: Kafka + idempotent upserts (ON CONFLICT DO UPDATE) make duplicate delivery harmless for our aggregates, but a true exactly-once pipeline would need Kafka transactions and Spark's exactly-once sink guarantees end-to-end.</w:t>
      </w:r>
    </w:p>
    <w:p>
      <w:pPr>
        <w:pStyle w:val="ListParagraph"/>
        <w:numPr>
          <w:ilvl w:val="0"/>
          <w:numId w:val="1"/>
        </w:numPr>
        <w:spacing w:after="80"/>
      </w:pPr>
      <w:r>
        <w:rPr>
          <w:rFonts w:ascii="Calibri" w:cs="Calibri" w:eastAsia="Calibri" w:hAnsi="Calibri"/>
          <w:sz w:val="22"/>
          <w:szCs w:val="22"/>
        </w:rPr>
        <w:t xml:space="preserve">The alert engine is a homemade polling loop rather than Prometheus Alertmanager/Grafana. We expose /metrics in Prometheus format specifically so a real monitoring stack could be dropped in without changing the pipeline.</w:t>
      </w:r>
    </w:p>
    <w:p>
      <w:pPr>
        <w:pStyle w:val="ListParagraph"/>
        <w:numPr>
          <w:ilvl w:val="0"/>
          <w:numId w:val="1"/>
        </w:numPr>
        <w:spacing w:after="80"/>
      </w:pPr>
      <w:r>
        <w:rPr>
          <w:rFonts w:ascii="Calibri" w:cs="Calibri" w:eastAsia="Calibri" w:hAnsi="Calibri"/>
          <w:sz w:val="22"/>
          <w:szCs w:val="22"/>
        </w:rPr>
        <w:t xml:space="preserve">Household/meter count (24) and zone count (4) are small simulation constants. At production scale, partitioning strategy (Kafka partitions, Parquet partitioning, Postgres indexing) would need re-tuning for the real cardinality.</w:t>
      </w:r>
    </w:p>
    <w:p>
      <w:pPr>
        <w:pStyle w:val="ListParagraph"/>
        <w:numPr>
          <w:ilvl w:val="0"/>
          <w:numId w:val="1"/>
        </w:numPr>
        <w:spacing w:after="80"/>
      </w:pPr>
      <w:r>
        <w:rPr>
          <w:rFonts w:ascii="Calibri" w:cs="Calibri" w:eastAsia="Calibri" w:hAnsi="Calibri"/>
          <w:sz w:val="22"/>
          <w:szCs w:val="22"/>
        </w:rPr>
        <w:t xml:space="preserve">Billing rules (flat per-kWh tariff, single subsidy tier) are intentionally simplified; a production billing engine would need tiered/progressive rates, historical rate versioning, and an audit trail — the current design already isolates that logic in one module (billing_rules.py) specifically so it could be extended without touching the pipeline plumbing.</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6"/>
        <w:szCs w:val="16"/>
      </w:rPr>
      <w:t xml:space="preserve">EC8203 Mini Project — Smart Grid Lambda Pipeline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ED" w:sz="8" w:space="4"/>
      </w:pBdr>
      <w:spacing w:after="160" w:before="320"/>
    </w:pPr>
    <w:rPr>
      <w:rFonts w:ascii="Calibri" w:cs="Calibri" w:eastAsia="Calibri" w:hAnsi="Calibri"/>
      <w:b/>
      <w:bCs/>
      <w:color w:val="1F3B57"/>
      <w:sz w:val="30"/>
      <w:szCs w:val="30"/>
    </w:rPr>
  </w:style>
  <w:style w:type="paragraph" w:styleId="Heading2">
    <w:name w:val="Heading 2"/>
    <w:basedOn w:val="Normal"/>
    <w:next w:val="Normal"/>
    <w:qFormat/>
    <w:pPr>
      <w:spacing w:after="120" w:before="240"/>
    </w:pPr>
    <w:rPr>
      <w:rFonts w:ascii="Calibri" w:cs="Calibri" w:eastAsia="Calibri" w:hAnsi="Calibri"/>
      <w:b/>
      <w:bCs/>
      <w:color w:val="2F6FE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69c2bd775b7624d8a0bb895a09fb0325a0e439.png"/><Relationship Id="rId10" Type="http://schemas.openxmlformats.org/officeDocument/2006/relationships/image" Target="media/42ad4d0cc7cc6d8245654247feb0d4cdd11f942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2026-08-11T13:28:01.771Z</dcterms:created>
  <dcterms:modified xsi:type="dcterms:W3CDTF">2026-08-11T13:28:01.772Z</dcterms:modified>
</cp:coreProperties>
</file>

<file path=docProps/custom.xml><?xml version="1.0" encoding="utf-8"?>
<Properties xmlns="http://schemas.openxmlformats.org/officeDocument/2006/custom-properties" xmlns:vt="http://schemas.openxmlformats.org/officeDocument/2006/docPropsVTypes"/>
</file>