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Vision Statement</w:t>
      </w:r>
    </w:p>
    <w:p>
      <w:r>
        <w:t>1. Audience</w:t>
      </w:r>
    </w:p>
    <w:p>
      <w:r>
        <w:t>Primary Audience: Compliance officers, internal auditors, finance teams, and legal teams at SMEs and mid-sized enterprises.</w:t>
      </w:r>
    </w:p>
    <w:p>
      <w:r>
        <w:t>Secondary Audience: Procurement teams, external audit partners, and risk/compliance consultants.</w:t>
      </w:r>
    </w:p>
    <w:p>
      <w:r>
        <w:t>2. Needs</w:t>
      </w:r>
    </w:p>
    <w:p>
      <w:r>
        <w:t>Primary Needs: Rapid verification of contracts, invoices, and financial reports. Evidence-backed audit findings that can be explained to stakeholders. Consistency checks across totals, dates, parties, and signatures.</w:t>
      </w:r>
    </w:p>
    <w:p>
      <w:r>
        <w:t>Secondary Needs: Easy rule creation for company policies and regulatory compliance. Audit history and traceability for future reference and disputes. Secure handling of sensitive documents with role-based access control.</w:t>
      </w:r>
    </w:p>
    <w:p>
      <w:r>
        <w:t>3. Products</w:t>
      </w:r>
    </w:p>
    <w:p>
      <w:r>
        <w:t>Core Product: An autonomous document auditing platform that extracts structured facts, checks internal consistency, validates compliance rules, and generates a risk-scored audit report.</w:t>
      </w:r>
    </w:p>
    <w:p>
      <w:r>
        <w:t>Additional Features: Evidence mapping that links each finding to exact text or page regions. Counter-auditor review to challenge findings and reduce false positives. Visual overlays to highlight tampering and layout drift. Multi-document cross-checks (invoice vs contract) and email ingestion.</w:t>
      </w:r>
    </w:p>
    <w:p>
      <w:r>
        <w:t>4. Values</w:t>
      </w:r>
    </w:p>
    <w:p>
      <w:r>
        <w:t>Core Values: Trust through transparent, evidence-backed findings. Accuracy with reduced false positives. Efficiency by accelerating document review without sacrificing rigor.</w:t>
      </w:r>
    </w:p>
    <w:p>
      <w:r>
        <w:t>Differentiators: Skeptical-auditor reasoning with a built-in counter-auditor option. Evidence-first reporting with text spans and visual overlays. Compliance rules written in natural language and converted to executable logic.</w:t>
      </w:r>
    </w:p>
    <w:p>
      <w:r>
        <w:t>For compliance teams, finance/legal departments, and SME business owners who need fast, reliable document verification, PaperTrail.AI is an autonomous AI auditing platform that reads, validates, and reports on business documents with evidence-backed reasoning. Unlike manual reviews or generic OCR tools, PaperTrail.AI applies a skeptical-auditor pipeline, compliance rule checks, and explicit evidence mapping to deliver transparent and defensible audit outcomes.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