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Capstone</w:t>
      </w:r>
      <w:r>
        <w:t xml:space="preserve"> </w:t>
      </w:r>
      <w:r>
        <w:t xml:space="preserve">Project</w:t>
      </w:r>
      <w:r>
        <w:t xml:space="preserve"> </w:t>
      </w:r>
      <w:r>
        <w:t xml:space="preserve">Spec:</w:t>
      </w:r>
      <w:r>
        <w:t xml:space="preserve"> </w:t>
      </w:r>
      <w:r>
        <w:t xml:space="preserve">Clinic</w:t>
      </w:r>
      <w:r>
        <w:t xml:space="preserve"> </w:t>
      </w:r>
      <w:r>
        <w:t xml:space="preserve">Visit</w:t>
      </w:r>
      <w:r>
        <w:t xml:space="preserve"> </w:t>
      </w:r>
      <w:r>
        <w:t xml:space="preserve">Sorter</w:t>
      </w:r>
    </w:p>
    <w:p>
      <w:pPr>
        <w:pStyle w:val="Subtitle"/>
      </w:pPr>
      <w:r>
        <w:t xml:space="preserve">CIT</w:t>
      </w:r>
      <w:r>
        <w:t xml:space="preserve"> </w:t>
      </w:r>
      <w:r>
        <w:t xml:space="preserve">AI-Native</w:t>
      </w:r>
      <w:r>
        <w:t xml:space="preserve"> </w:t>
      </w:r>
      <w:r>
        <w:t xml:space="preserve">Engineering</w:t>
      </w:r>
      <w:r>
        <w:t xml:space="preserve"> </w:t>
      </w:r>
      <w:r>
        <w:t xml:space="preserve">Programme</w:t>
      </w:r>
      <w:r>
        <w:t xml:space="preserve"> </w:t>
      </w:r>
      <w:r>
        <w:t xml:space="preserve">·</w:t>
      </w:r>
      <w:r>
        <w:t xml:space="preserve"> </w:t>
      </w:r>
      <w:r>
        <w:t xml:space="preserve">Semester</w:t>
      </w:r>
      <w:r>
        <w:t xml:space="preserve"> </w:t>
      </w:r>
      <w:r>
        <w:t xml:space="preserve">1</w:t>
      </w:r>
      <w:r>
        <w:t xml:space="preserve"> </w:t>
      </w:r>
      <w:r>
        <w:t xml:space="preserve">·</w:t>
      </w:r>
      <w:r>
        <w:t xml:space="preserve"> </w:t>
      </w:r>
      <w:r>
        <w:t xml:space="preserve">Assessment</w:t>
      </w:r>
      <w:r>
        <w:t xml:space="preserve"> </w:t>
      </w:r>
      <w:r>
        <w:t xml:space="preserve">5</w:t>
      </w:r>
    </w:p>
    <w:bookmarkStart w:id="20" w:name="project-overview"/>
    <w:p>
      <w:pPr>
        <w:pStyle w:val="Heading2"/>
      </w:pPr>
      <w:r>
        <w:t xml:space="preserve">Project overview</w:t>
      </w:r>
    </w:p>
    <w:p>
      <w:pPr>
        <w:pStyle w:val="FirstParagraph"/>
      </w:pPr>
      <w:r>
        <w:t xml:space="preserve">You will build a console-based Python tool that reads the short notes students write when they arrive at the college health centre. An LLM sorts each note by category and priority, so the nurse sees the most urgent students first. This is an individual project. It is due at the Week 15 showcase and counts as Assessment 5 (40%).</w:t>
      </w:r>
    </w:p>
    <w:p>
      <w:pPr>
        <w:pStyle w:val="BodyText"/>
      </w:pPr>
      <w:r>
        <w:rPr>
          <w:bCs/>
          <w:b/>
        </w:rPr>
        <w:t xml:space="preserve">Domain:</w:t>
      </w:r>
      <w:r>
        <w:t xml:space="preserve"> </w:t>
      </w:r>
      <w:r>
        <w:t xml:space="preserve">Health</w:t>
      </w:r>
    </w:p>
    <w:p>
      <w:pPr>
        <w:pStyle w:val="BodyText"/>
      </w:pPr>
      <w:r>
        <w:rPr>
          <w:bCs/>
          <w:b/>
        </w:rPr>
        <w:t xml:space="preserve">The problem.</w:t>
      </w:r>
      <w:r>
        <w:t xml:space="preserve"> </w:t>
      </w:r>
      <w:r>
        <w:t xml:space="preserve">At peak times, ten students can arrive at the health centre within half an hour, and they are seen in arrival order. A student with chest pain can wait behind three students asking for certificates.</w:t>
      </w:r>
    </w:p>
    <w:p>
      <w:pPr>
        <w:pStyle w:val="BodyText"/>
      </w:pPr>
      <w:r>
        <w:rPr>
          <w:bCs/>
          <w:b/>
        </w:rPr>
        <w:t xml:space="preserve">What your tool does.</w:t>
      </w:r>
      <w:r>
        <w:t xml:space="preserve"> </w:t>
      </w:r>
      <w:r>
        <w:t xml:space="preserve">It reads each note, labels it, and orders the nurse’s queue: see now, today, or routine.</w:t>
      </w:r>
      <w:r>
        <w:t xml:space="preserve"> </w:t>
      </w:r>
      <w:r>
        <w:rPr>
          <w:bCs/>
          <w:b/>
        </w:rPr>
        <w:t xml:space="preserve">The tool never diagnoses, never gives advice, and never removes anyone from the queue.</w:t>
      </w:r>
      <w:r>
        <w:t xml:space="preserve"> </w:t>
      </w:r>
      <w:r>
        <w:t xml:space="preserve">The nurse sees every student and makes every medical decision.</w:t>
      </w:r>
    </w:p>
    <w:p>
      <w:pPr>
        <w:pStyle w:val="BodyText"/>
      </w:pPr>
      <w:r>
        <w:t xml:space="preserve">If you already have your own domain system from Week 1, you can build that instead, using the same structure and checklist in this spec. Get faculty approval before you start.</w:t>
      </w:r>
    </w:p>
    <w:bookmarkEnd w:id="20"/>
    <w:bookmarkStart w:id="25" w:name="what-you-will-build"/>
    <w:p>
      <w:pPr>
        <w:pStyle w:val="Heading2"/>
      </w:pPr>
      <w:r>
        <w:t xml:space="preserve">What you will build</w:t>
      </w:r>
    </w:p>
    <w:p>
      <w:pPr>
        <w:pStyle w:val="FirstParagraph"/>
      </w:pPr>
      <w:r>
        <w:t xml:space="preserve">The tool runs from the console, reads one CSV file, and writes two output files.</w:t>
      </w:r>
    </w:p>
    <w:bookmarkStart w:id="21" w:name="input-visits.csv"/>
    <w:p>
      <w:pPr>
        <w:pStyle w:val="Heading3"/>
      </w:pPr>
      <w:r>
        <w:t xml:space="preserve">Input: visits.csv</w:t>
      </w:r>
    </w:p>
    <w:p>
      <w:pPr>
        <w:pStyle w:val="FirstParagraph"/>
      </w:pPr>
      <w:r>
        <w:t xml:space="preserve">At least 20 notes, written the way students actually write when they are unwell: short, informal, sometimes in Tamil.</w:t>
      </w:r>
    </w:p>
    <w:p>
      <w:pPr>
        <w:pStyle w:val="SourceCode"/>
      </w:pPr>
      <w:r>
        <w:rPr>
          <w:rStyle w:val="VerbatimChar"/>
        </w:rPr>
        <w:t xml:space="preserve">id,time,note</w:t>
      </w:r>
      <w:r>
        <w:br/>
      </w:r>
      <w:r>
        <w:rPr>
          <w:rStyle w:val="VerbatimChar"/>
        </w:rPr>
        <w:t xml:space="preserve">V01,09:05,Twisted my ankle playing football. It is swollen and I can't walk properly</w:t>
      </w:r>
      <w:r>
        <w:br/>
      </w:r>
      <w:r>
        <w:rPr>
          <w:rStyle w:val="VerbatimChar"/>
        </w:rPr>
        <w:t xml:space="preserve">V03,09:20,Feeling a little cold and sneezing</w:t>
      </w:r>
      <w:r>
        <w:br/>
      </w:r>
      <w:r>
        <w:rPr>
          <w:rStyle w:val="VerbatimChar"/>
        </w:rPr>
        <w:t xml:space="preserve">V04,09:31,Chest pain and difficulty breathing after climbing stairs</w:t>
      </w:r>
      <w:r>
        <w:br/>
      </w:r>
      <w:r>
        <w:rPr>
          <w:rStyle w:val="VerbatimChar"/>
        </w:rPr>
        <w:t xml:space="preserve">V06,09:44,Need a medical certificate for missing yesterday's class</w:t>
      </w:r>
      <w:r>
        <w:br/>
      </w:r>
      <w:r>
        <w:rPr>
          <w:rStyle w:val="VerbatimChar"/>
        </w:rPr>
        <w:t xml:space="preserve">V14,10:50,Thalai vali romba since morning</w:t>
      </w:r>
    </w:p>
    <w:bookmarkEnd w:id="21"/>
    <w:bookmarkStart w:id="22" w:name="what-the-llm-must-return-for-each-note"/>
    <w:p>
      <w:pPr>
        <w:pStyle w:val="Heading3"/>
      </w:pPr>
      <w:r>
        <w:t xml:space="preserve">What the LLM must return for each note</w:t>
      </w:r>
    </w:p>
    <w:p>
      <w:pPr>
        <w:pStyle w:val="SourceCode"/>
      </w:pPr>
      <w:r>
        <w:rPr>
          <w:rStyle w:val="VerbatimChar"/>
        </w:rPr>
        <w:t xml:space="preserve">{"category": "injury", "priority": "today", "summary": "Twisted ankle, swollen, difficulty walking"}</w:t>
      </w:r>
    </w:p>
    <w:tbl>
      <w:tblPr>
        <w:tblStyle w:val="Table"/>
        <w:tblLook w:firstRow="1" w:lastRow="0" w:firstColumn="0" w:lastColumn="0" w:noHBand="0" w:noVBand="0" w:val="0020"/>
        <w:jc w:val="start"/>
        <w:tblLayout w:type="fixed"/>
        <w:tblBorders>
          <w:top w:val="single" w:sz="4" w:color="B8C2CC"/>
          <w:left w:val="single" w:sz="4" w:color="B8C2CC"/>
          <w:bottom w:val="single" w:sz="4" w:color="B8C2CC"/>
          <w:right w:val="single" w:sz="4" w:color="B8C2CC"/>
          <w:insideH w:val="single" w:sz="4" w:color="B8C2CC"/>
          <w:insideV w:val="single" w:sz="4" w:color="B8C2CC"/>
        </w:tblBorders>
        <w:tblW w:w="9638" w:type="dxa"/>
      </w:tblPr>
      <w:tblGrid>
        <w:gridCol w:w="1640"/>
        <w:gridCol w:w="3622"/>
        <w:gridCol w:w="4374"/>
      </w:tblGrid>
      <w:tr>
        <w:trPr>
          <w:tblHeader w:val="true"/>
        </w:trPr>
        <w:tc>
          <w:tcPr>
            <w:tcW w:w="1640" w:type="dxa"/>
            <w:shd w:val="clear" w:fill="1F3A5F"/>
            <w:tcMar>
              <w:top w:w="60" w:type="dxa"/>
              <w:bottom w:w="60" w:type="dxa"/>
              <w:left w:w="90" w:type="dxa"/>
              <w:right w:w="90" w:type="dxa"/>
            </w:tcMar>
          </w:tcPr>
          <w:p>
            <w:pPr>
              <w:pStyle w:val="Compact"/>
              <w:spacing w:after="0" w:before="0"/>
              <w:jc w:val="left"/>
            </w:pPr>
            <w:r>
              <w:rPr>
                <w:b/>
                <w:color w:val="FFFFFF"/>
                <w:sz w:val="19"/>
              </w:rPr>
              <w:t xml:space="preserve">Field</w:t>
            </w:r>
          </w:p>
        </w:tc>
        <w:tc>
          <w:tcPr>
            <w:tcW w:w="3622" w:type="dxa"/>
            <w:shd w:val="clear" w:fill="1F3A5F"/>
            <w:tcMar>
              <w:top w:w="60" w:type="dxa"/>
              <w:bottom w:w="60" w:type="dxa"/>
              <w:left w:w="90" w:type="dxa"/>
              <w:right w:w="90" w:type="dxa"/>
            </w:tcMar>
          </w:tcPr>
          <w:p>
            <w:pPr>
              <w:pStyle w:val="Compact"/>
              <w:spacing w:after="0" w:before="0"/>
              <w:jc w:val="left"/>
            </w:pPr>
            <w:r>
              <w:rPr>
                <w:b/>
                <w:color w:val="FFFFFF"/>
                <w:sz w:val="19"/>
              </w:rPr>
              <w:t xml:space="preserve">Allowed values</w:t>
            </w:r>
          </w:p>
        </w:tc>
        <w:tc>
          <w:tcPr>
            <w:tcW w:w="4374" w:type="dxa"/>
            <w:shd w:val="clear" w:fill="1F3A5F"/>
            <w:tcMar>
              <w:top w:w="60" w:type="dxa"/>
              <w:bottom w:w="60" w:type="dxa"/>
              <w:left w:w="90" w:type="dxa"/>
              <w:right w:w="90" w:type="dxa"/>
            </w:tcMar>
          </w:tcPr>
          <w:p>
            <w:pPr>
              <w:pStyle w:val="Compact"/>
              <w:spacing w:after="0" w:before="0"/>
              <w:jc w:val="left"/>
            </w:pPr>
            <w:r>
              <w:rPr>
                <w:b/>
                <w:color w:val="FFFFFF"/>
                <w:sz w:val="19"/>
              </w:rPr>
              <w:t xml:space="preserve">Rule</w:t>
            </w:r>
          </w:p>
        </w:tc>
      </w:tr>
      <w:tr>
        <w:tc>
          <w:tcPr>
            <w:tcW w:w="1640" w:type="dxa"/>
            <w:tcMar>
              <w:top w:w="60" w:type="dxa"/>
              <w:bottom w:w="60" w:type="dxa"/>
              <w:left w:w="90" w:type="dxa"/>
              <w:right w:w="90" w:type="dxa"/>
            </w:tcMar>
          </w:tcPr>
          <w:p>
            <w:pPr>
              <w:pStyle w:val="Compact"/>
              <w:spacing w:after="0" w:before="0"/>
              <w:jc w:val="left"/>
            </w:pPr>
            <w:r>
              <w:rPr>
                <w:sz w:val="19"/>
              </w:rPr>
              <w:t xml:space="preserve">category</w:t>
            </w:r>
          </w:p>
        </w:tc>
        <w:tc>
          <w:tcPr>
            <w:tcW w:w="3622" w:type="dxa"/>
            <w:tcMar>
              <w:top w:w="60" w:type="dxa"/>
              <w:bottom w:w="60" w:type="dxa"/>
              <w:left w:w="90" w:type="dxa"/>
              <w:right w:w="90" w:type="dxa"/>
            </w:tcMar>
          </w:tcPr>
          <w:p>
            <w:pPr>
              <w:pStyle w:val="Compact"/>
              <w:spacing w:after="0" w:before="0"/>
              <w:jc w:val="left"/>
            </w:pPr>
            <w:r>
              <w:rPr>
                <w:sz w:val="19"/>
              </w:rPr>
              <w:t xml:space="preserve">injury, fever_cold, stomach, pain, allergy, other</w:t>
            </w:r>
          </w:p>
        </w:tc>
        <w:tc>
          <w:tcPr>
            <w:tcW w:w="4374" w:type="dxa"/>
            <w:tcMar>
              <w:top w:w="60" w:type="dxa"/>
              <w:bottom w:w="60" w:type="dxa"/>
              <w:left w:w="90" w:type="dxa"/>
              <w:right w:w="90" w:type="dxa"/>
            </w:tcMar>
          </w:tcPr>
          <w:p>
            <w:pPr>
              <w:pStyle w:val="Compact"/>
              <w:spacing w:after="0" w:before="0"/>
              <w:jc w:val="left"/>
            </w:pPr>
            <w:r>
              <w:rPr>
                <w:sz w:val="19"/>
              </w:rPr>
              <w:t xml:space="preserve">Pick the one that fits best</w:t>
            </w:r>
          </w:p>
        </w:tc>
      </w:tr>
      <w:tr>
        <w:tc>
          <w:tcPr>
            <w:tcW w:w="1640" w:type="dxa"/>
            <w:tcMar>
              <w:top w:w="60" w:type="dxa"/>
              <w:bottom w:w="60" w:type="dxa"/>
              <w:left w:w="90" w:type="dxa"/>
              <w:right w:w="90" w:type="dxa"/>
            </w:tcMar>
          </w:tcPr>
          <w:p>
            <w:pPr>
              <w:pStyle w:val="Compact"/>
              <w:spacing w:after="0" w:before="0"/>
              <w:jc w:val="left"/>
            </w:pPr>
            <w:r>
              <w:rPr>
                <w:sz w:val="19"/>
              </w:rPr>
              <w:t xml:space="preserve">priority</w:t>
            </w:r>
          </w:p>
        </w:tc>
        <w:tc>
          <w:tcPr>
            <w:tcW w:w="3622" w:type="dxa"/>
            <w:tcMar>
              <w:top w:w="60" w:type="dxa"/>
              <w:bottom w:w="60" w:type="dxa"/>
              <w:left w:w="90" w:type="dxa"/>
              <w:right w:w="90" w:type="dxa"/>
            </w:tcMar>
          </w:tcPr>
          <w:p>
            <w:pPr>
              <w:pStyle w:val="Compact"/>
              <w:spacing w:after="0" w:before="0"/>
              <w:jc w:val="left"/>
            </w:pPr>
            <w:r>
              <w:rPr>
                <w:sz w:val="19"/>
              </w:rPr>
              <w:t xml:space="preserve">see_now, today, routine</w:t>
            </w:r>
          </w:p>
        </w:tc>
        <w:tc>
          <w:tcPr>
            <w:tcW w:w="4374" w:type="dxa"/>
            <w:tcMar>
              <w:top w:w="60" w:type="dxa"/>
              <w:bottom w:w="60" w:type="dxa"/>
              <w:left w:w="90" w:type="dxa"/>
              <w:right w:w="90" w:type="dxa"/>
            </w:tcMar>
          </w:tcPr>
          <w:p>
            <w:pPr>
              <w:pStyle w:val="Compact"/>
              <w:spacing w:after="0" w:before="0"/>
              <w:jc w:val="left"/>
            </w:pPr>
            <w:r>
              <w:rPr>
                <w:sz w:val="19"/>
              </w:rPr>
              <w:t xml:space="preserve">see_now for chest pain, breathing trouble, fainting, heavy bleeding, lip or face swelling, or pain so bad the student can’t stand</w:t>
            </w:r>
          </w:p>
        </w:tc>
      </w:tr>
      <w:tr>
        <w:tc>
          <w:tcPr>
            <w:tcW w:w="1640" w:type="dxa"/>
            <w:tcMar>
              <w:top w:w="60" w:type="dxa"/>
              <w:bottom w:w="60" w:type="dxa"/>
              <w:left w:w="90" w:type="dxa"/>
              <w:right w:w="90" w:type="dxa"/>
            </w:tcMar>
          </w:tcPr>
          <w:p>
            <w:pPr>
              <w:pStyle w:val="Compact"/>
              <w:spacing w:after="0" w:before="0"/>
              <w:jc w:val="left"/>
            </w:pPr>
            <w:r>
              <w:rPr>
                <w:sz w:val="19"/>
              </w:rPr>
              <w:t xml:space="preserve">summary</w:t>
            </w:r>
          </w:p>
        </w:tc>
        <w:tc>
          <w:tcPr>
            <w:tcW w:w="3622" w:type="dxa"/>
            <w:tcMar>
              <w:top w:w="60" w:type="dxa"/>
              <w:bottom w:w="60" w:type="dxa"/>
              <w:left w:w="90" w:type="dxa"/>
              <w:right w:w="90" w:type="dxa"/>
            </w:tcMar>
          </w:tcPr>
          <w:p>
            <w:pPr>
              <w:pStyle w:val="Compact"/>
              <w:spacing w:after="0" w:before="0"/>
              <w:jc w:val="left"/>
            </w:pPr>
            <w:r>
              <w:rPr>
                <w:sz w:val="19"/>
              </w:rPr>
              <w:t xml:space="preserve">text</w:t>
            </w:r>
          </w:p>
        </w:tc>
        <w:tc>
          <w:tcPr>
            <w:tcW w:w="4374" w:type="dxa"/>
            <w:tcMar>
              <w:top w:w="60" w:type="dxa"/>
              <w:bottom w:w="60" w:type="dxa"/>
              <w:left w:w="90" w:type="dxa"/>
              <w:right w:w="90" w:type="dxa"/>
            </w:tcMar>
          </w:tcPr>
          <w:p>
            <w:pPr>
              <w:pStyle w:val="Compact"/>
              <w:spacing w:after="0" w:before="0"/>
              <w:jc w:val="left"/>
            </w:pPr>
            <w:r>
              <w:rPr>
                <w:sz w:val="19"/>
              </w:rPr>
              <w:t xml:space="preserve">Symptoms only, 12 words or fewer.</w:t>
            </w:r>
            <w:r>
              <w:rPr>
                <w:sz w:val="19"/>
              </w:rPr>
              <w:t xml:space="preserve"> </w:t>
            </w:r>
            <w:r>
              <w:rPr>
                <w:bCs/>
                <w:b/>
                <w:sz w:val="19"/>
              </w:rPr>
              <w:t xml:space="preserve">Never a disease name or a guess</w:t>
            </w:r>
            <w:r>
              <w:rPr>
                <w:sz w:val="19"/>
              </w:rPr>
              <w:t xml:space="preserve">, never a person’s name</w:t>
            </w:r>
          </w:p>
        </w:tc>
      </w:tr>
    </w:tbl>
    <w:bookmarkEnd w:id="22"/>
    <w:bookmarkStart w:id="23" w:name="python-rules"/>
    <w:p>
      <w:pPr>
        <w:pStyle w:val="Heading3"/>
      </w:pPr>
      <w:r>
        <w:t xml:space="preserve">Python rules</w:t>
      </w:r>
    </w:p>
    <w:p>
      <w:pPr>
        <w:numPr>
          <w:ilvl w:val="0"/>
          <w:numId w:val="1001"/>
        </w:numPr>
        <w:pStyle w:val="Compact"/>
      </w:pPr>
      <w:r>
        <w:rPr>
          <w:bCs/>
          <w:b/>
        </w:rPr>
        <w:t xml:space="preserve">Priority can only go up.</w:t>
      </w:r>
      <w:r>
        <w:t xml:space="preserve"> </w:t>
      </w:r>
      <w:r>
        <w:t xml:space="preserve">If the note contains a red-flag word, the priority becomes see_now. Include Tamil red flags such as</w:t>
      </w:r>
      <w:r>
        <w:t xml:space="preserve"> </w:t>
      </w:r>
      <w:r>
        <w:t xml:space="preserve">“</w:t>
      </w:r>
      <w:r>
        <w:t xml:space="preserve">nenju vali</w:t>
      </w:r>
      <w:r>
        <w:t xml:space="preserve">”</w:t>
      </w:r>
      <w:r>
        <w:t xml:space="preserve"> </w:t>
      </w:r>
      <w:r>
        <w:t xml:space="preserve">(chest pain) and</w:t>
      </w:r>
      <w:r>
        <w:t xml:space="preserve"> </w:t>
      </w:r>
      <w:r>
        <w:t xml:space="preserve">“</w:t>
      </w:r>
      <w:r>
        <w:t xml:space="preserve">moochu</w:t>
      </w:r>
      <w:r>
        <w:t xml:space="preserve">”</w:t>
      </w:r>
      <w:r>
        <w:t xml:space="preserve"> </w:t>
      </w:r>
      <w:r>
        <w:t xml:space="preserve">(breath). Python never lowers a priority.</w:t>
      </w:r>
    </w:p>
    <w:p>
      <w:pPr>
        <w:numPr>
          <w:ilvl w:val="0"/>
          <w:numId w:val="1001"/>
        </w:numPr>
        <w:pStyle w:val="Compact"/>
      </w:pPr>
      <w:r>
        <w:rPr>
          <w:bCs/>
          <w:b/>
        </w:rPr>
        <w:t xml:space="preserve">No diagnosis.</w:t>
      </w:r>
      <w:r>
        <w:t xml:space="preserve"> </w:t>
      </w:r>
      <w:r>
        <w:t xml:space="preserve">If the summary contains a disease name or a word like</w:t>
      </w:r>
      <w:r>
        <w:t xml:space="preserve"> </w:t>
      </w:r>
      <w:r>
        <w:t xml:space="preserve">“</w:t>
      </w:r>
      <w:r>
        <w:t xml:space="preserve">possible</w:t>
      </w:r>
      <w:r>
        <w:t xml:space="preserve">”</w:t>
      </w:r>
      <w:r>
        <w:t xml:space="preserve"> </w:t>
      </w:r>
      <w:r>
        <w:t xml:space="preserve">or</w:t>
      </w:r>
      <w:r>
        <w:t xml:space="preserve"> </w:t>
      </w:r>
      <w:r>
        <w:t xml:space="preserve">“</w:t>
      </w:r>
      <w:r>
        <w:t xml:space="preserve">likely</w:t>
      </w:r>
      <w:r>
        <w:t xml:space="preserve">”</w:t>
      </w:r>
      <w:r>
        <w:t xml:space="preserve">, replace it with a neutral summary.</w:t>
      </w:r>
    </w:p>
    <w:p>
      <w:pPr>
        <w:numPr>
          <w:ilvl w:val="0"/>
          <w:numId w:val="1001"/>
        </w:numPr>
        <w:pStyle w:val="Compact"/>
      </w:pPr>
      <w:r>
        <w:rPr>
          <w:bCs/>
          <w:b/>
        </w:rPr>
        <w:t xml:space="preserve">Unknown is never routine.</w:t>
      </w:r>
      <w:r>
        <w:t xml:space="preserve"> </w:t>
      </w:r>
      <w:r>
        <w:t xml:space="preserve">If the reply fails twice or the API is down, use priority</w:t>
      </w:r>
      <w:r>
        <w:t xml:space="preserve"> </w:t>
      </w:r>
      <w:r>
        <w:t xml:space="preserve">“</w:t>
      </w:r>
      <w:r>
        <w:t xml:space="preserve">today</w:t>
      </w:r>
      <w:r>
        <w:t xml:space="preserve">”</w:t>
      </w:r>
      <w:r>
        <w:t xml:space="preserve">, and still check red flags.</w:t>
      </w:r>
    </w:p>
    <w:bookmarkEnd w:id="23"/>
    <w:bookmarkStart w:id="24" w:name="output-files"/>
    <w:p>
      <w:pPr>
        <w:pStyle w:val="Heading3"/>
      </w:pPr>
      <w:r>
        <w:t xml:space="preserve">Output files</w:t>
      </w:r>
    </w:p>
    <w:p>
      <w:pPr>
        <w:numPr>
          <w:ilvl w:val="0"/>
          <w:numId w:val="1002"/>
        </w:numPr>
        <w:pStyle w:val="Compact"/>
      </w:pPr>
      <w:r>
        <w:rPr>
          <w:bCs/>
          <w:b/>
        </w:rPr>
        <w:t xml:space="preserve">nurse_queue.csv</w:t>
      </w:r>
      <w:r>
        <w:t xml:space="preserve">: every student, most urgent first, then by arrival time, with the original note. For the nurse only.</w:t>
      </w:r>
    </w:p>
    <w:p>
      <w:pPr>
        <w:numPr>
          <w:ilvl w:val="0"/>
          <w:numId w:val="1002"/>
        </w:numPr>
        <w:pStyle w:val="Compact"/>
      </w:pPr>
      <w:r>
        <w:rPr>
          <w:bCs/>
          <w:b/>
        </w:rPr>
        <w:t xml:space="preserve">summary.txt</w:t>
      </w:r>
      <w:r>
        <w:t xml:space="preserve">: counts by priority, category and hour of arrival. No notes. For the health centre in-charge.</w:t>
      </w:r>
    </w:p>
    <w:bookmarkEnd w:id="24"/>
    <w:bookmarkEnd w:id="25"/>
    <w:bookmarkStart w:id="26" w:name="what-your-project-must-include"/>
    <w:p>
      <w:pPr>
        <w:pStyle w:val="Heading2"/>
      </w:pPr>
      <w:r>
        <w:t xml:space="preserve">What your project must include</w:t>
      </w:r>
    </w:p>
    <w:p>
      <w:pPr>
        <w:pStyle w:val="FirstParagraph"/>
      </w:pPr>
      <w:r>
        <w:t xml:space="preserve">Your submission must have all seven parts below. You have done each of them in class already.</w:t>
      </w:r>
    </w:p>
    <w:tbl>
      <w:tblPr>
        <w:tblStyle w:val="Table"/>
        <w:tblLook w:firstRow="1" w:lastRow="0" w:firstColumn="0" w:lastColumn="0" w:noHBand="0" w:noVBand="0" w:val="0020"/>
        <w:jc w:val="start"/>
        <w:tblLayout w:type="fixed"/>
        <w:tblBorders>
          <w:top w:val="single" w:sz="4" w:color="B8C2CC"/>
          <w:left w:val="single" w:sz="4" w:color="B8C2CC"/>
          <w:bottom w:val="single" w:sz="4" w:color="B8C2CC"/>
          <w:right w:val="single" w:sz="4" w:color="B8C2CC"/>
          <w:insideH w:val="single" w:sz="4" w:color="B8C2CC"/>
          <w:insideV w:val="single" w:sz="4" w:color="B8C2CC"/>
        </w:tblBorders>
        <w:tblW w:w="9638" w:type="dxa"/>
      </w:tblPr>
      <w:tblGrid>
        <w:gridCol w:w="707"/>
        <w:gridCol w:w="3271"/>
        <w:gridCol w:w="5659"/>
      </w:tblGrid>
      <w:tr>
        <w:trPr>
          <w:tblHeader w:val="true"/>
        </w:trPr>
        <w:tc>
          <w:tcPr>
            <w:tcW w:w="707" w:type="dxa"/>
            <w:shd w:val="clear" w:fill="1F3A5F"/>
            <w:tcMar>
              <w:top w:w="60" w:type="dxa"/>
              <w:bottom w:w="60" w:type="dxa"/>
              <w:left w:w="90" w:type="dxa"/>
              <w:right w:w="90" w:type="dxa"/>
            </w:tcMar>
          </w:tcPr>
          <w:p>
            <w:pPr>
              <w:pStyle w:val="Compact"/>
              <w:spacing w:after="0" w:before="0"/>
              <w:jc w:val="left"/>
            </w:pPr>
            <w:r>
              <w:rPr>
                <w:b/>
                <w:color w:val="FFFFFF"/>
                <w:sz w:val="19"/>
              </w:rPr>
              <w:t xml:space="preserve">#</w:t>
            </w:r>
          </w:p>
        </w:tc>
        <w:tc>
          <w:tcPr>
            <w:tcW w:w="3271" w:type="dxa"/>
            <w:shd w:val="clear" w:fill="1F3A5F"/>
            <w:tcMar>
              <w:top w:w="60" w:type="dxa"/>
              <w:bottom w:w="60" w:type="dxa"/>
              <w:left w:w="90" w:type="dxa"/>
              <w:right w:w="90" w:type="dxa"/>
            </w:tcMar>
          </w:tcPr>
          <w:p>
            <w:pPr>
              <w:pStyle w:val="Compact"/>
              <w:spacing w:after="0" w:before="0"/>
              <w:jc w:val="left"/>
            </w:pPr>
            <w:r>
              <w:rPr>
                <w:b/>
                <w:color w:val="FFFFFF"/>
                <w:sz w:val="19"/>
              </w:rPr>
              <w:t xml:space="preserve">Component</w:t>
            </w:r>
          </w:p>
        </w:tc>
        <w:tc>
          <w:tcPr>
            <w:tcW w:w="5659" w:type="dxa"/>
            <w:shd w:val="clear" w:fill="1F3A5F"/>
            <w:tcMar>
              <w:top w:w="60" w:type="dxa"/>
              <w:bottom w:w="60" w:type="dxa"/>
              <w:left w:w="90" w:type="dxa"/>
              <w:right w:w="90" w:type="dxa"/>
            </w:tcMar>
          </w:tcPr>
          <w:p>
            <w:pPr>
              <w:pStyle w:val="Compact"/>
              <w:spacing w:after="0" w:before="0"/>
              <w:jc w:val="left"/>
            </w:pPr>
            <w:r>
              <w:rPr>
                <w:b/>
                <w:color w:val="FFFFFF"/>
                <w:sz w:val="19"/>
              </w:rPr>
              <w:t xml:space="preserve">What it must show</w:t>
            </w:r>
          </w:p>
        </w:tc>
      </w:tr>
      <w:tr>
        <w:tc>
          <w:tcPr>
            <w:tcW w:w="707" w:type="dxa"/>
            <w:tcMar>
              <w:top w:w="60" w:type="dxa"/>
              <w:bottom w:w="60" w:type="dxa"/>
              <w:left w:w="90" w:type="dxa"/>
              <w:right w:w="90" w:type="dxa"/>
            </w:tcMar>
          </w:tcPr>
          <w:p>
            <w:pPr>
              <w:pStyle w:val="Compact"/>
              <w:spacing w:after="0" w:before="0"/>
              <w:jc w:val="left"/>
            </w:pPr>
            <w:r>
              <w:rPr>
                <w:sz w:val="19"/>
              </w:rPr>
              <w:t xml:space="preserve">1</w:t>
            </w:r>
          </w:p>
        </w:tc>
        <w:tc>
          <w:tcPr>
            <w:tcW w:w="3271" w:type="dxa"/>
            <w:tcMar>
              <w:top w:w="60" w:type="dxa"/>
              <w:bottom w:w="60" w:type="dxa"/>
              <w:left w:w="90" w:type="dxa"/>
              <w:right w:w="90" w:type="dxa"/>
            </w:tcMar>
          </w:tcPr>
          <w:p>
            <w:pPr>
              <w:pStyle w:val="Compact"/>
              <w:spacing w:after="0" w:before="0"/>
              <w:jc w:val="left"/>
            </w:pPr>
            <w:r>
              <w:rPr>
                <w:sz w:val="19"/>
              </w:rPr>
              <w:t xml:space="preserve">Specification</w:t>
            </w:r>
          </w:p>
        </w:tc>
        <w:tc>
          <w:tcPr>
            <w:tcW w:w="5659" w:type="dxa"/>
            <w:tcMar>
              <w:top w:w="60" w:type="dxa"/>
              <w:bottom w:w="60" w:type="dxa"/>
              <w:left w:w="90" w:type="dxa"/>
              <w:right w:w="90" w:type="dxa"/>
            </w:tcMar>
          </w:tcPr>
          <w:p>
            <w:pPr>
              <w:pStyle w:val="Compact"/>
              <w:spacing w:after="0" w:before="0"/>
              <w:jc w:val="left"/>
            </w:pPr>
            <w:r>
              <w:rPr>
                <w:sz w:val="19"/>
              </w:rPr>
              <w:t xml:space="preserve">One page, written before any code: what the tool must never do, the input, the JSON rules, the red-flag list, the no-diagnosis rule, and the edge cases.</w:t>
            </w:r>
          </w:p>
        </w:tc>
      </w:tr>
      <w:tr>
        <w:tc>
          <w:tcPr>
            <w:tcW w:w="707" w:type="dxa"/>
            <w:tcMar>
              <w:top w:w="60" w:type="dxa"/>
              <w:bottom w:w="60" w:type="dxa"/>
              <w:left w:w="90" w:type="dxa"/>
              <w:right w:w="90" w:type="dxa"/>
            </w:tcMar>
          </w:tcPr>
          <w:p>
            <w:pPr>
              <w:pStyle w:val="Compact"/>
              <w:spacing w:after="0" w:before="0"/>
              <w:jc w:val="left"/>
            </w:pPr>
            <w:r>
              <w:rPr>
                <w:sz w:val="19"/>
              </w:rPr>
              <w:t xml:space="preserve">2</w:t>
            </w:r>
          </w:p>
        </w:tc>
        <w:tc>
          <w:tcPr>
            <w:tcW w:w="3271" w:type="dxa"/>
            <w:tcMar>
              <w:top w:w="60" w:type="dxa"/>
              <w:bottom w:w="60" w:type="dxa"/>
              <w:left w:w="90" w:type="dxa"/>
              <w:right w:w="90" w:type="dxa"/>
            </w:tcMar>
          </w:tcPr>
          <w:p>
            <w:pPr>
              <w:pStyle w:val="Compact"/>
              <w:spacing w:after="0" w:before="0"/>
              <w:jc w:val="left"/>
            </w:pPr>
            <w:r>
              <w:rPr>
                <w:sz w:val="19"/>
              </w:rPr>
              <w:t xml:space="preserve">Python program</w:t>
            </w:r>
          </w:p>
        </w:tc>
        <w:tc>
          <w:tcPr>
            <w:tcW w:w="5659" w:type="dxa"/>
            <w:tcMar>
              <w:top w:w="60" w:type="dxa"/>
              <w:bottom w:w="60" w:type="dxa"/>
              <w:left w:w="90" w:type="dxa"/>
              <w:right w:w="90" w:type="dxa"/>
            </w:tcMar>
          </w:tcPr>
          <w:p>
            <w:pPr>
              <w:pStyle w:val="Compact"/>
              <w:spacing w:after="0" w:before="0"/>
              <w:jc w:val="left"/>
            </w:pPr>
            <w:r>
              <w:rPr>
                <w:sz w:val="19"/>
              </w:rPr>
              <w:t xml:space="preserve">Functions with one job each, including load_visits(), classify(), is_valid(), raise_priority(), remove_diagnosis() and write_reports(). Checks every LLM reply, retries once, falls back to</w:t>
            </w:r>
            <w:r>
              <w:rPr>
                <w:sz w:val="19"/>
              </w:rPr>
              <w:t xml:space="preserve"> </w:t>
            </w:r>
            <w:r>
              <w:rPr>
                <w:sz w:val="19"/>
              </w:rPr>
              <w:t xml:space="preserve">“</w:t>
            </w:r>
            <w:r>
              <w:rPr>
                <w:sz w:val="19"/>
              </w:rPr>
              <w:t xml:space="preserve">today</w:t>
            </w:r>
            <w:r>
              <w:rPr>
                <w:sz w:val="19"/>
              </w:rPr>
              <w:t xml:space="preserve">”</w:t>
            </w:r>
            <w:r>
              <w:rPr>
                <w:sz w:val="19"/>
              </w:rPr>
              <w:t xml:space="preserve">. Uses lists, dictionaries, sorting, file read/write and try/except.</w:t>
            </w:r>
          </w:p>
        </w:tc>
      </w:tr>
      <w:tr>
        <w:tc>
          <w:tcPr>
            <w:tcW w:w="707" w:type="dxa"/>
            <w:tcMar>
              <w:top w:w="60" w:type="dxa"/>
              <w:bottom w:w="60" w:type="dxa"/>
              <w:left w:w="90" w:type="dxa"/>
              <w:right w:w="90" w:type="dxa"/>
            </w:tcMar>
          </w:tcPr>
          <w:p>
            <w:pPr>
              <w:pStyle w:val="Compact"/>
              <w:spacing w:after="0" w:before="0"/>
              <w:jc w:val="left"/>
            </w:pPr>
            <w:r>
              <w:rPr>
                <w:sz w:val="19"/>
              </w:rPr>
              <w:t xml:space="preserve">3</w:t>
            </w:r>
          </w:p>
        </w:tc>
        <w:tc>
          <w:tcPr>
            <w:tcW w:w="3271" w:type="dxa"/>
            <w:tcMar>
              <w:top w:w="60" w:type="dxa"/>
              <w:bottom w:w="60" w:type="dxa"/>
              <w:left w:w="90" w:type="dxa"/>
              <w:right w:w="90" w:type="dxa"/>
            </w:tcMar>
          </w:tcPr>
          <w:p>
            <w:pPr>
              <w:pStyle w:val="Compact"/>
              <w:spacing w:after="0" w:before="0"/>
              <w:jc w:val="left"/>
            </w:pPr>
            <w:r>
              <w:rPr>
                <w:sz w:val="19"/>
              </w:rPr>
              <w:t xml:space="preserve">LLM call and system prompt</w:t>
            </w:r>
          </w:p>
        </w:tc>
        <w:tc>
          <w:tcPr>
            <w:tcW w:w="5659" w:type="dxa"/>
            <w:tcMar>
              <w:top w:w="60" w:type="dxa"/>
              <w:bottom w:w="60" w:type="dxa"/>
              <w:left w:w="90" w:type="dxa"/>
              <w:right w:w="90" w:type="dxa"/>
            </w:tcMar>
          </w:tcPr>
          <w:p>
            <w:pPr>
              <w:pStyle w:val="Compact"/>
              <w:spacing w:after="0" w:before="0"/>
              <w:jc w:val="left"/>
            </w:pPr>
            <w:r>
              <w:rPr>
                <w:sz w:val="19"/>
              </w:rPr>
              <w:t xml:space="preserve">Calls the LLM API from Week 12 (a free-tier key is fine) with a prompt built on the 5-role framework: Authority, Exemplar, Constraint, Rubric, Metadata. Includes at least 2 examples with the correct JSON. The key is never written inside the code.</w:t>
            </w:r>
          </w:p>
        </w:tc>
      </w:tr>
      <w:tr>
        <w:tc>
          <w:tcPr>
            <w:tcW w:w="707" w:type="dxa"/>
            <w:tcMar>
              <w:top w:w="60" w:type="dxa"/>
              <w:bottom w:w="60" w:type="dxa"/>
              <w:left w:w="90" w:type="dxa"/>
              <w:right w:w="90" w:type="dxa"/>
            </w:tcMar>
          </w:tcPr>
          <w:p>
            <w:pPr>
              <w:pStyle w:val="Compact"/>
              <w:spacing w:after="0" w:before="0"/>
              <w:jc w:val="left"/>
            </w:pPr>
            <w:r>
              <w:rPr>
                <w:sz w:val="19"/>
              </w:rPr>
              <w:t xml:space="preserve">4</w:t>
            </w:r>
          </w:p>
        </w:tc>
        <w:tc>
          <w:tcPr>
            <w:tcW w:w="3271" w:type="dxa"/>
            <w:tcMar>
              <w:top w:w="60" w:type="dxa"/>
              <w:bottom w:w="60" w:type="dxa"/>
              <w:left w:w="90" w:type="dxa"/>
              <w:right w:w="90" w:type="dxa"/>
            </w:tcMar>
          </w:tcPr>
          <w:p>
            <w:pPr>
              <w:pStyle w:val="Compact"/>
              <w:spacing w:after="0" w:before="0"/>
              <w:jc w:val="left"/>
            </w:pPr>
            <w:r>
              <w:rPr>
                <w:sz w:val="19"/>
              </w:rPr>
              <w:t xml:space="preserve">Testing</w:t>
            </w:r>
          </w:p>
        </w:tc>
        <w:tc>
          <w:tcPr>
            <w:tcW w:w="5659" w:type="dxa"/>
            <w:tcMar>
              <w:top w:w="60" w:type="dxa"/>
              <w:bottom w:w="60" w:type="dxa"/>
              <w:left w:w="90" w:type="dxa"/>
              <w:right w:w="90" w:type="dxa"/>
            </w:tcMar>
          </w:tcPr>
          <w:p>
            <w:pPr>
              <w:pStyle w:val="Compact"/>
              <w:spacing w:after="0" w:before="0"/>
              <w:jc w:val="left"/>
            </w:pPr>
            <w:r>
              <w:rPr>
                <w:sz w:val="19"/>
              </w:rPr>
              <w:t xml:space="preserve">An eval harness of 5 test notes with the expected category and priority, and how many came out right. Plus 3 red-team inputs: a note asking to be marked routine, a note asking for a diagnosis, and a red-flag note in Tamil.</w:t>
            </w:r>
          </w:p>
        </w:tc>
      </w:tr>
      <w:tr>
        <w:tc>
          <w:tcPr>
            <w:tcW w:w="707" w:type="dxa"/>
            <w:tcMar>
              <w:top w:w="60" w:type="dxa"/>
              <w:bottom w:w="60" w:type="dxa"/>
              <w:left w:w="90" w:type="dxa"/>
              <w:right w:w="90" w:type="dxa"/>
            </w:tcMar>
          </w:tcPr>
          <w:p>
            <w:pPr>
              <w:pStyle w:val="Compact"/>
              <w:spacing w:after="0" w:before="0"/>
              <w:jc w:val="left"/>
            </w:pPr>
            <w:r>
              <w:rPr>
                <w:sz w:val="19"/>
              </w:rPr>
              <w:t xml:space="preserve">5</w:t>
            </w:r>
          </w:p>
        </w:tc>
        <w:tc>
          <w:tcPr>
            <w:tcW w:w="3271" w:type="dxa"/>
            <w:tcMar>
              <w:top w:w="60" w:type="dxa"/>
              <w:bottom w:w="60" w:type="dxa"/>
              <w:left w:w="90" w:type="dxa"/>
              <w:right w:w="90" w:type="dxa"/>
            </w:tcMar>
          </w:tcPr>
          <w:p>
            <w:pPr>
              <w:pStyle w:val="Compact"/>
              <w:spacing w:after="0" w:before="0"/>
              <w:jc w:val="left"/>
            </w:pPr>
            <w:r>
              <w:rPr>
                <w:sz w:val="19"/>
              </w:rPr>
              <w:t xml:space="preserve">Judgment Framework</w:t>
            </w:r>
          </w:p>
        </w:tc>
        <w:tc>
          <w:tcPr>
            <w:tcW w:w="5659" w:type="dxa"/>
            <w:tcMar>
              <w:top w:w="60" w:type="dxa"/>
              <w:bottom w:w="60" w:type="dxa"/>
              <w:left w:w="90" w:type="dxa"/>
              <w:right w:w="90" w:type="dxa"/>
            </w:tcMar>
          </w:tcPr>
          <w:p>
            <w:pPr>
              <w:pStyle w:val="Compact"/>
              <w:spacing w:after="0" w:before="0"/>
              <w:jc w:val="left"/>
            </w:pPr>
            <w:r>
              <w:rPr>
                <w:sz w:val="19"/>
              </w:rPr>
              <w:t xml:space="preserve">A table answering the three questions for each part of the tool. Explain why a priority that is too low is far worse than one that is too high, and name the human checkpoint: the nurse sees every student and makes every medical decision.</w:t>
            </w:r>
          </w:p>
        </w:tc>
      </w:tr>
      <w:tr>
        <w:tc>
          <w:tcPr>
            <w:tcW w:w="707" w:type="dxa"/>
            <w:tcMar>
              <w:top w:w="60" w:type="dxa"/>
              <w:bottom w:w="60" w:type="dxa"/>
              <w:left w:w="90" w:type="dxa"/>
              <w:right w:w="90" w:type="dxa"/>
            </w:tcMar>
          </w:tcPr>
          <w:p>
            <w:pPr>
              <w:pStyle w:val="Compact"/>
              <w:spacing w:after="0" w:before="0"/>
              <w:jc w:val="left"/>
            </w:pPr>
            <w:r>
              <w:rPr>
                <w:sz w:val="19"/>
              </w:rPr>
              <w:t xml:space="preserve">6</w:t>
            </w:r>
          </w:p>
        </w:tc>
        <w:tc>
          <w:tcPr>
            <w:tcW w:w="3271" w:type="dxa"/>
            <w:tcMar>
              <w:top w:w="60" w:type="dxa"/>
              <w:bottom w:w="60" w:type="dxa"/>
              <w:left w:w="90" w:type="dxa"/>
              <w:right w:w="90" w:type="dxa"/>
            </w:tcMar>
          </w:tcPr>
          <w:p>
            <w:pPr>
              <w:pStyle w:val="Compact"/>
              <w:spacing w:after="0" w:before="0"/>
              <w:jc w:val="left"/>
            </w:pPr>
            <w:r>
              <w:rPr>
                <w:sz w:val="19"/>
              </w:rPr>
              <w:t xml:space="preserve">Cost and latency note</w:t>
            </w:r>
          </w:p>
        </w:tc>
        <w:tc>
          <w:tcPr>
            <w:tcW w:w="5659" w:type="dxa"/>
            <w:tcMar>
              <w:top w:w="60" w:type="dxa"/>
              <w:bottom w:w="60" w:type="dxa"/>
              <w:left w:w="90" w:type="dxa"/>
              <w:right w:w="90" w:type="dxa"/>
            </w:tcMar>
          </w:tcPr>
          <w:p>
            <w:pPr>
              <w:pStyle w:val="Compact"/>
              <w:spacing w:after="0" w:before="0"/>
              <w:jc w:val="left"/>
            </w:pPr>
            <w:r>
              <w:rPr>
                <w:sz w:val="19"/>
              </w:rPr>
              <w:t xml:space="preserve">How many API calls one day of input needs, roughly how long each call takes, and the estimated cost per day.</w:t>
            </w:r>
          </w:p>
        </w:tc>
      </w:tr>
      <w:tr>
        <w:tc>
          <w:tcPr>
            <w:tcW w:w="707" w:type="dxa"/>
            <w:tcMar>
              <w:top w:w="60" w:type="dxa"/>
              <w:bottom w:w="60" w:type="dxa"/>
              <w:left w:w="90" w:type="dxa"/>
              <w:right w:w="90" w:type="dxa"/>
            </w:tcMar>
          </w:tcPr>
          <w:p>
            <w:pPr>
              <w:pStyle w:val="Compact"/>
              <w:spacing w:after="0" w:before="0"/>
              <w:jc w:val="left"/>
            </w:pPr>
            <w:r>
              <w:rPr>
                <w:sz w:val="19"/>
              </w:rPr>
              <w:t xml:space="preserve">7</w:t>
            </w:r>
          </w:p>
        </w:tc>
        <w:tc>
          <w:tcPr>
            <w:tcW w:w="3271" w:type="dxa"/>
            <w:tcMar>
              <w:top w:w="60" w:type="dxa"/>
              <w:bottom w:w="60" w:type="dxa"/>
              <w:left w:w="90" w:type="dxa"/>
              <w:right w:w="90" w:type="dxa"/>
            </w:tcMar>
          </w:tcPr>
          <w:p>
            <w:pPr>
              <w:pStyle w:val="Compact"/>
              <w:spacing w:after="0" w:before="0"/>
              <w:jc w:val="left"/>
            </w:pPr>
            <w:r>
              <w:rPr>
                <w:sz w:val="19"/>
              </w:rPr>
              <w:t xml:space="preserve">GitHub repo</w:t>
            </w:r>
          </w:p>
        </w:tc>
        <w:tc>
          <w:tcPr>
            <w:tcW w:w="5659" w:type="dxa"/>
            <w:tcMar>
              <w:top w:w="60" w:type="dxa"/>
              <w:bottom w:w="60" w:type="dxa"/>
              <w:left w:w="90" w:type="dxa"/>
              <w:right w:w="90" w:type="dxa"/>
            </w:tcMar>
          </w:tcPr>
          <w:p>
            <w:pPr>
              <w:pStyle w:val="Compact"/>
              <w:spacing w:after="0" w:before="0"/>
              <w:jc w:val="left"/>
            </w:pPr>
            <w:r>
              <w:rPr>
                <w:sz w:val="19"/>
              </w:rPr>
              <w:t xml:space="preserve">README, a .gitignore that keeps the API key out, and at least 3 meaningful commits.</w:t>
            </w:r>
          </w:p>
        </w:tc>
      </w:tr>
    </w:tbl>
    <w:bookmarkEnd w:id="26"/>
    <w:bookmarkStart w:id="27" w:name="checkpoints-and-what-to-submit"/>
    <w:p>
      <w:pPr>
        <w:pStyle w:val="Heading2"/>
      </w:pPr>
      <w:r>
        <w:t xml:space="preserve">Checkpoints and what to submit</w:t>
      </w:r>
    </w:p>
    <w:p>
      <w:pPr>
        <w:pStyle w:val="FirstParagraph"/>
      </w:pPr>
      <w:r>
        <w:t xml:space="preserve">There are three checkpoints before the showcase. Faculty will share the dates. Do not skip ahead: a tool built without a signed-off spec usually has to be rebuilt.</w:t>
      </w:r>
    </w:p>
    <w:p>
      <w:pPr>
        <w:numPr>
          <w:ilvl w:val="0"/>
          <w:numId w:val="1003"/>
        </w:numPr>
        <w:pStyle w:val="Compact"/>
      </w:pPr>
      <w:r>
        <w:rPr>
          <w:bCs/>
          <w:b/>
        </w:rPr>
        <w:t xml:space="preserve">Checkpoint 1: spec signed off.</w:t>
      </w:r>
      <w:r>
        <w:t xml:space="preserve"> </w:t>
      </w:r>
      <w:r>
        <w:t xml:space="preserve">Submit your one-page spec and visits.csv. Faculty sign-off is needed before you write code.</w:t>
      </w:r>
    </w:p>
    <w:p>
      <w:pPr>
        <w:numPr>
          <w:ilvl w:val="0"/>
          <w:numId w:val="1003"/>
        </w:numPr>
        <w:pStyle w:val="Compact"/>
      </w:pPr>
      <w:r>
        <w:rPr>
          <w:bCs/>
          <w:b/>
        </w:rPr>
        <w:t xml:space="preserve">Checkpoint 2: one item, end to end.</w:t>
      </w:r>
      <w:r>
        <w:t xml:space="preserve"> </w:t>
      </w:r>
      <w:r>
        <w:t xml:space="preserve">Your program sends one note to the LLM and prints valid JSON.</w:t>
      </w:r>
    </w:p>
    <w:p>
      <w:pPr>
        <w:numPr>
          <w:ilvl w:val="0"/>
          <w:numId w:val="1003"/>
        </w:numPr>
        <w:pStyle w:val="Compact"/>
      </w:pPr>
      <w:r>
        <w:rPr>
          <w:bCs/>
          <w:b/>
        </w:rPr>
        <w:t xml:space="preserve">Checkpoint 3: full run.</w:t>
      </w:r>
      <w:r>
        <w:t xml:space="preserve"> </w:t>
      </w:r>
      <w:r>
        <w:t xml:space="preserve">All notes are processed, the red-flag and no-diagnosis checks work, and both output files are written.</w:t>
      </w:r>
    </w:p>
    <w:p>
      <w:pPr>
        <w:numPr>
          <w:ilvl w:val="0"/>
          <w:numId w:val="1003"/>
        </w:numPr>
        <w:pStyle w:val="Compact"/>
      </w:pPr>
      <w:r>
        <w:rPr>
          <w:bCs/>
          <w:b/>
        </w:rPr>
        <w:t xml:space="preserve">Week 15: showcase.</w:t>
      </w:r>
      <w:r>
        <w:t xml:space="preserve"> </w:t>
      </w:r>
      <w:r>
        <w:t xml:space="preserve">Eval harness, red-team, Judgment Framework table, cost note and README are done. You present live.</w:t>
      </w:r>
    </w:p>
    <w:p>
      <w:pPr>
        <w:pStyle w:val="FirstParagraph"/>
      </w:pPr>
      <w:r>
        <w:rPr>
          <w:bCs/>
          <w:b/>
        </w:rPr>
        <w:t xml:space="preserve">Final submission:</w:t>
      </w:r>
    </w:p>
    <w:p>
      <w:pPr>
        <w:pStyle w:val="Compact"/>
        <w:spacing w:after="40"/>
        <w:ind w:left="340"/>
      </w:pPr>
      <w:r>
        <w:t xml:space="preserve">☐ GitHub repo link (code, README, .gitignore, input files, output files)</w:t>
      </w:r>
    </w:p>
    <w:p>
      <w:pPr>
        <w:pStyle w:val="Compact"/>
        <w:spacing w:after="40"/>
        <w:ind w:left="340"/>
      </w:pPr>
      <w:r>
        <w:t xml:space="preserve">☐ One-page specification</w:t>
      </w:r>
    </w:p>
    <w:p>
      <w:pPr>
        <w:pStyle w:val="Compact"/>
        <w:spacing w:after="40"/>
        <w:ind w:left="340"/>
      </w:pPr>
      <w:r>
        <w:t xml:space="preserve">☐ System prompt as a separate text file</w:t>
      </w:r>
    </w:p>
    <w:p>
      <w:pPr>
        <w:pStyle w:val="Compact"/>
        <w:spacing w:after="40"/>
        <w:ind w:left="340"/>
      </w:pPr>
      <w:r>
        <w:t xml:space="preserve">☐ Eval harness results</w:t>
      </w:r>
    </w:p>
    <w:p>
      <w:pPr>
        <w:pStyle w:val="Compact"/>
        <w:spacing w:after="40"/>
        <w:ind w:left="340"/>
      </w:pPr>
      <w:r>
        <w:t xml:space="preserve">☐ Red-team results (3 inputs)</w:t>
      </w:r>
    </w:p>
    <w:p>
      <w:pPr>
        <w:pStyle w:val="Compact"/>
        <w:spacing w:after="40"/>
        <w:ind w:left="340"/>
      </w:pPr>
      <w:r>
        <w:t xml:space="preserve">☐ Judgment Framework table</w:t>
      </w:r>
    </w:p>
    <w:p>
      <w:pPr>
        <w:pStyle w:val="Compact"/>
        <w:spacing w:after="40"/>
        <w:ind w:left="340"/>
      </w:pPr>
      <w:r>
        <w:t xml:space="preserve">☐ Cost and latency note</w:t>
      </w:r>
    </w:p>
    <w:p>
      <w:pPr>
        <w:pStyle w:val="Compact"/>
        <w:spacing w:after="40"/>
        <w:ind w:left="340"/>
      </w:pPr>
      <w:r>
        <w:t xml:space="preserve">☐ AI Decision Journal</w:t>
      </w:r>
    </w:p>
    <w:p>
      <w:pPr>
        <w:pStyle w:val="Compact"/>
        <w:spacing w:after="40"/>
        <w:ind w:left="340"/>
      </w:pPr>
      <w:r>
        <w:t xml:space="preserve">☐ 400-word reflection</w:t>
      </w:r>
    </w:p>
    <w:bookmarkEnd w:id="27"/>
    <w:bookmarkStart w:id="30" w:name="how-it-will-be-assessed"/>
    <w:p>
      <w:pPr>
        <w:pStyle w:val="Heading2"/>
      </w:pPr>
      <w:r>
        <w:t xml:space="preserve">How it will be assessed</w:t>
      </w:r>
    </w:p>
    <w:p>
      <w:pPr>
        <w:pStyle w:val="FirstParagraph"/>
      </w:pPr>
      <w:r>
        <w:t xml:space="preserve">The project is marked out of 100 and counts for 40% of the semester.</w:t>
      </w:r>
    </w:p>
    <w:tbl>
      <w:tblPr>
        <w:tblStyle w:val="Table"/>
        <w:tblLook w:firstRow="1" w:lastRow="0" w:firstColumn="0" w:lastColumn="0" w:noHBand="0" w:noVBand="0" w:val="0020"/>
        <w:jc w:val="start"/>
        <w:tblLayout w:type="fixed"/>
        <w:tblBorders>
          <w:top w:val="single" w:sz="4" w:color="B8C2CC"/>
          <w:left w:val="single" w:sz="4" w:color="B8C2CC"/>
          <w:bottom w:val="single" w:sz="4" w:color="B8C2CC"/>
          <w:right w:val="single" w:sz="4" w:color="B8C2CC"/>
          <w:insideH w:val="single" w:sz="4" w:color="B8C2CC"/>
          <w:insideV w:val="single" w:sz="4" w:color="B8C2CC"/>
        </w:tblBorders>
        <w:tblW w:w="9638" w:type="dxa"/>
      </w:tblPr>
      <w:tblGrid>
        <w:gridCol w:w="7615"/>
        <w:gridCol w:w="2022"/>
      </w:tblGrid>
      <w:tr>
        <w:trPr>
          <w:tblHeader w:val="true"/>
        </w:trPr>
        <w:tc>
          <w:tcPr>
            <w:tcW w:w="7615" w:type="dxa"/>
            <w:shd w:val="clear" w:fill="1F3A5F"/>
            <w:tcMar>
              <w:top w:w="60" w:type="dxa"/>
              <w:bottom w:w="60" w:type="dxa"/>
              <w:left w:w="90" w:type="dxa"/>
              <w:right w:w="90" w:type="dxa"/>
            </w:tcMar>
          </w:tcPr>
          <w:p>
            <w:pPr>
              <w:pStyle w:val="Compact"/>
              <w:spacing w:after="0" w:before="0"/>
              <w:jc w:val="left"/>
            </w:pPr>
            <w:r>
              <w:rPr>
                <w:b/>
                <w:color w:val="FFFFFF"/>
                <w:sz w:val="19"/>
              </w:rPr>
              <w:t xml:space="preserve">Area</w:t>
            </w:r>
          </w:p>
        </w:tc>
        <w:tc>
          <w:tcPr>
            <w:tcW w:w="2022" w:type="dxa"/>
            <w:shd w:val="clear" w:fill="1F3A5F"/>
            <w:tcMar>
              <w:top w:w="60" w:type="dxa"/>
              <w:bottom w:w="60" w:type="dxa"/>
              <w:left w:w="90" w:type="dxa"/>
              <w:right w:w="90" w:type="dxa"/>
            </w:tcMar>
          </w:tcPr>
          <w:p>
            <w:pPr>
              <w:pStyle w:val="Compact"/>
              <w:spacing w:after="0" w:before="0"/>
              <w:jc w:val="left"/>
            </w:pPr>
            <w:r>
              <w:rPr>
                <w:b/>
                <w:color w:val="FFFFFF"/>
                <w:sz w:val="19"/>
              </w:rPr>
              <w:t xml:space="preserve">Marks</w:t>
            </w:r>
          </w:p>
        </w:tc>
      </w:tr>
      <w:tr>
        <w:tc>
          <w:tcPr>
            <w:tcW w:w="7615" w:type="dxa"/>
            <w:tcMar>
              <w:top w:w="60" w:type="dxa"/>
              <w:bottom w:w="60" w:type="dxa"/>
              <w:left w:w="90" w:type="dxa"/>
              <w:right w:w="90" w:type="dxa"/>
            </w:tcMar>
          </w:tcPr>
          <w:p>
            <w:pPr>
              <w:pStyle w:val="Compact"/>
              <w:spacing w:after="0" w:before="0"/>
              <w:jc w:val="left"/>
            </w:pPr>
            <w:r>
              <w:rPr>
                <w:sz w:val="19"/>
              </w:rPr>
              <w:t xml:space="preserve">Specification and problem understanding</w:t>
            </w:r>
          </w:p>
        </w:tc>
        <w:tc>
          <w:tcPr>
            <w:tcW w:w="2022" w:type="dxa"/>
            <w:tcMar>
              <w:top w:w="60" w:type="dxa"/>
              <w:bottom w:w="60" w:type="dxa"/>
              <w:left w:w="90" w:type="dxa"/>
              <w:right w:w="90" w:type="dxa"/>
            </w:tcMar>
          </w:tcPr>
          <w:p>
            <w:pPr>
              <w:pStyle w:val="Compact"/>
              <w:spacing w:after="0" w:before="0"/>
              <w:jc w:val="left"/>
            </w:pPr>
            <w:r>
              <w:rPr>
                <w:sz w:val="19"/>
              </w:rPr>
              <w:t xml:space="preserve">15</w:t>
            </w:r>
          </w:p>
        </w:tc>
      </w:tr>
      <w:tr>
        <w:tc>
          <w:tcPr>
            <w:tcW w:w="7615" w:type="dxa"/>
            <w:tcMar>
              <w:top w:w="60" w:type="dxa"/>
              <w:bottom w:w="60" w:type="dxa"/>
              <w:left w:w="90" w:type="dxa"/>
              <w:right w:w="90" w:type="dxa"/>
            </w:tcMar>
          </w:tcPr>
          <w:p>
            <w:pPr>
              <w:pStyle w:val="Compact"/>
              <w:spacing w:after="0" w:before="0"/>
              <w:jc w:val="left"/>
            </w:pPr>
            <w:r>
              <w:rPr>
                <w:sz w:val="19"/>
              </w:rPr>
              <w:t xml:space="preserve">Working program (runs end to end on your input files)</w:t>
            </w:r>
          </w:p>
        </w:tc>
        <w:tc>
          <w:tcPr>
            <w:tcW w:w="2022" w:type="dxa"/>
            <w:tcMar>
              <w:top w:w="60" w:type="dxa"/>
              <w:bottom w:w="60" w:type="dxa"/>
              <w:left w:w="90" w:type="dxa"/>
              <w:right w:w="90" w:type="dxa"/>
            </w:tcMar>
          </w:tcPr>
          <w:p>
            <w:pPr>
              <w:pStyle w:val="Compact"/>
              <w:spacing w:after="0" w:before="0"/>
              <w:jc w:val="left"/>
            </w:pPr>
            <w:r>
              <w:rPr>
                <w:sz w:val="19"/>
              </w:rPr>
              <w:t xml:space="preserve">25</w:t>
            </w:r>
          </w:p>
        </w:tc>
      </w:tr>
      <w:tr>
        <w:tc>
          <w:tcPr>
            <w:tcW w:w="7615" w:type="dxa"/>
            <w:tcMar>
              <w:top w:w="60" w:type="dxa"/>
              <w:bottom w:w="60" w:type="dxa"/>
              <w:left w:w="90" w:type="dxa"/>
              <w:right w:w="90" w:type="dxa"/>
            </w:tcMar>
          </w:tcPr>
          <w:p>
            <w:pPr>
              <w:pStyle w:val="Compact"/>
              <w:spacing w:after="0" w:before="0"/>
              <w:jc w:val="left"/>
            </w:pPr>
            <w:r>
              <w:rPr>
                <w:sz w:val="19"/>
              </w:rPr>
              <w:t xml:space="preserve">System prompt, validator, fallback, red flags and no-diagnosis rule</w:t>
            </w:r>
          </w:p>
        </w:tc>
        <w:tc>
          <w:tcPr>
            <w:tcW w:w="2022" w:type="dxa"/>
            <w:tcMar>
              <w:top w:w="60" w:type="dxa"/>
              <w:bottom w:w="60" w:type="dxa"/>
              <w:left w:w="90" w:type="dxa"/>
              <w:right w:w="90" w:type="dxa"/>
            </w:tcMar>
          </w:tcPr>
          <w:p>
            <w:pPr>
              <w:pStyle w:val="Compact"/>
              <w:spacing w:after="0" w:before="0"/>
              <w:jc w:val="left"/>
            </w:pPr>
            <w:r>
              <w:rPr>
                <w:sz w:val="19"/>
              </w:rPr>
              <w:t xml:space="preserve">15</w:t>
            </w:r>
          </w:p>
        </w:tc>
      </w:tr>
      <w:tr>
        <w:tc>
          <w:tcPr>
            <w:tcW w:w="7615" w:type="dxa"/>
            <w:tcMar>
              <w:top w:w="60" w:type="dxa"/>
              <w:bottom w:w="60" w:type="dxa"/>
              <w:left w:w="90" w:type="dxa"/>
              <w:right w:w="90" w:type="dxa"/>
            </w:tcMar>
          </w:tcPr>
          <w:p>
            <w:pPr>
              <w:pStyle w:val="Compact"/>
              <w:spacing w:after="0" w:before="0"/>
              <w:jc w:val="left"/>
            </w:pPr>
            <w:r>
              <w:rPr>
                <w:sz w:val="19"/>
              </w:rPr>
              <w:t xml:space="preserve">Eval harness and red-team</w:t>
            </w:r>
          </w:p>
        </w:tc>
        <w:tc>
          <w:tcPr>
            <w:tcW w:w="2022" w:type="dxa"/>
            <w:tcMar>
              <w:top w:w="60" w:type="dxa"/>
              <w:bottom w:w="60" w:type="dxa"/>
              <w:left w:w="90" w:type="dxa"/>
              <w:right w:w="90" w:type="dxa"/>
            </w:tcMar>
          </w:tcPr>
          <w:p>
            <w:pPr>
              <w:pStyle w:val="Compact"/>
              <w:spacing w:after="0" w:before="0"/>
              <w:jc w:val="left"/>
            </w:pPr>
            <w:r>
              <w:rPr>
                <w:sz w:val="19"/>
              </w:rPr>
              <w:t xml:space="preserve">15</w:t>
            </w:r>
          </w:p>
        </w:tc>
      </w:tr>
      <w:tr>
        <w:tc>
          <w:tcPr>
            <w:tcW w:w="7615" w:type="dxa"/>
            <w:tcMar>
              <w:top w:w="60" w:type="dxa"/>
              <w:bottom w:w="60" w:type="dxa"/>
              <w:left w:w="90" w:type="dxa"/>
              <w:right w:w="90" w:type="dxa"/>
            </w:tcMar>
          </w:tcPr>
          <w:p>
            <w:pPr>
              <w:pStyle w:val="Compact"/>
              <w:spacing w:after="0" w:before="0"/>
              <w:jc w:val="left"/>
            </w:pPr>
            <w:r>
              <w:rPr>
                <w:sz w:val="19"/>
              </w:rPr>
              <w:t xml:space="preserve">Judgment Framework and human checkpoint</w:t>
            </w:r>
          </w:p>
        </w:tc>
        <w:tc>
          <w:tcPr>
            <w:tcW w:w="2022" w:type="dxa"/>
            <w:tcMar>
              <w:top w:w="60" w:type="dxa"/>
              <w:bottom w:w="60" w:type="dxa"/>
              <w:left w:w="90" w:type="dxa"/>
              <w:right w:w="90" w:type="dxa"/>
            </w:tcMar>
          </w:tcPr>
          <w:p>
            <w:pPr>
              <w:pStyle w:val="Compact"/>
              <w:spacing w:after="0" w:before="0"/>
              <w:jc w:val="left"/>
            </w:pPr>
            <w:r>
              <w:rPr>
                <w:sz w:val="19"/>
              </w:rPr>
              <w:t xml:space="preserve">10</w:t>
            </w:r>
          </w:p>
        </w:tc>
      </w:tr>
      <w:tr>
        <w:tc>
          <w:tcPr>
            <w:tcW w:w="7615" w:type="dxa"/>
            <w:tcMar>
              <w:top w:w="60" w:type="dxa"/>
              <w:bottom w:w="60" w:type="dxa"/>
              <w:left w:w="90" w:type="dxa"/>
              <w:right w:w="90" w:type="dxa"/>
            </w:tcMar>
          </w:tcPr>
          <w:p>
            <w:pPr>
              <w:pStyle w:val="Compact"/>
              <w:spacing w:after="0" w:before="0"/>
              <w:jc w:val="left"/>
            </w:pPr>
            <w:r>
              <w:rPr>
                <w:sz w:val="19"/>
              </w:rPr>
              <w:t xml:space="preserve">Live presentation and Q&amp;A</w:t>
            </w:r>
          </w:p>
        </w:tc>
        <w:tc>
          <w:tcPr>
            <w:tcW w:w="2022" w:type="dxa"/>
            <w:tcMar>
              <w:top w:w="60" w:type="dxa"/>
              <w:bottom w:w="60" w:type="dxa"/>
              <w:left w:w="90" w:type="dxa"/>
              <w:right w:w="90" w:type="dxa"/>
            </w:tcMar>
          </w:tcPr>
          <w:p>
            <w:pPr>
              <w:pStyle w:val="Compact"/>
              <w:spacing w:after="0" w:before="0"/>
              <w:jc w:val="left"/>
            </w:pPr>
            <w:r>
              <w:rPr>
                <w:sz w:val="19"/>
              </w:rPr>
              <w:t xml:space="preserve">20</w:t>
            </w:r>
          </w:p>
        </w:tc>
      </w:tr>
      <w:tr>
        <w:tc>
          <w:tcPr>
            <w:tcW w:w="7615" w:type="dxa"/>
            <w:tcMar>
              <w:top w:w="60" w:type="dxa"/>
              <w:bottom w:w="60" w:type="dxa"/>
              <w:left w:w="90" w:type="dxa"/>
              <w:right w:w="90" w:type="dxa"/>
            </w:tcMar>
          </w:tcPr>
          <w:p>
            <w:pPr>
              <w:pStyle w:val="Compact"/>
              <w:spacing w:after="0" w:before="0"/>
              <w:jc w:val="left"/>
            </w:pPr>
            <w:r>
              <w:rPr>
                <w:bCs/>
                <w:b/>
                <w:sz w:val="19"/>
              </w:rPr>
              <w:t xml:space="preserve">Total</w:t>
            </w:r>
          </w:p>
        </w:tc>
        <w:tc>
          <w:tcPr>
            <w:tcW w:w="2022" w:type="dxa"/>
            <w:tcMar>
              <w:top w:w="60" w:type="dxa"/>
              <w:bottom w:w="60" w:type="dxa"/>
              <w:left w:w="90" w:type="dxa"/>
              <w:right w:w="90" w:type="dxa"/>
            </w:tcMar>
          </w:tcPr>
          <w:p>
            <w:pPr>
              <w:pStyle w:val="Compact"/>
              <w:spacing w:after="0" w:before="0"/>
              <w:jc w:val="left"/>
            </w:pPr>
            <w:r>
              <w:rPr>
                <w:bCs/>
                <w:b/>
                <w:sz w:val="19"/>
              </w:rPr>
              <w:t xml:space="preserve">100</w:t>
            </w:r>
          </w:p>
        </w:tc>
      </w:tr>
    </w:tbl>
    <w:p>
      <w:pPr>
        <w:pStyle w:val="BodyText"/>
      </w:pPr>
      <w:r>
        <w:rPr>
          <w:bCs/>
          <w:b/>
        </w:rPr>
        <w:t xml:space="preserve">Presentation (10 minutes + 5 minutes Q&amp;A):</w:t>
      </w:r>
      <w:r>
        <w:t xml:space="preserve"> </w:t>
      </w:r>
      <w:r>
        <w:t xml:space="preserve">Problem, Spec, Live demo, Eval results, Judgment Framework, Cost note, 3 learnings.</w:t>
      </w:r>
    </w:p>
    <w:bookmarkStart w:id="28" w:name="using-ai-on-this-project"/>
    <w:p>
      <w:pPr>
        <w:pStyle w:val="Heading3"/>
      </w:pPr>
      <w:r>
        <w:t xml:space="preserve">Using AI on this project</w:t>
      </w:r>
    </w:p>
    <w:p>
      <w:pPr>
        <w:pStyle w:val="FirstParagraph"/>
      </w:pPr>
      <w:r>
        <w:t xml:space="preserve">You may use AI to help write and fix your code. Remember the golden rule from Week 11: never submit code you cannot explain line by line. In the Q&amp;A, faculty will point at any line and ask what it does. If you cannot explain it, that part gets no marks.</w:t>
      </w:r>
    </w:p>
    <w:bookmarkEnd w:id="28"/>
    <w:bookmarkStart w:id="29" w:name="common-mistakes"/>
    <w:p>
      <w:pPr>
        <w:pStyle w:val="Heading3"/>
      </w:pPr>
      <w:r>
        <w:t xml:space="preserve">Common mistakes</w:t>
      </w:r>
    </w:p>
    <w:p>
      <w:pPr>
        <w:numPr>
          <w:ilvl w:val="0"/>
          <w:numId w:val="1005"/>
        </w:numPr>
        <w:pStyle w:val="Compact"/>
      </w:pPr>
      <w:r>
        <w:t xml:space="preserve">Pushing the API key to GitHub. Check your .gitignore before the first commit.</w:t>
      </w:r>
    </w:p>
    <w:p>
      <w:pPr>
        <w:numPr>
          <w:ilvl w:val="0"/>
          <w:numId w:val="1005"/>
        </w:numPr>
        <w:pStyle w:val="Compact"/>
      </w:pPr>
      <w:r>
        <w:t xml:space="preserve">Using the LLM’s reply without checking it. One bad reply should never crash the program.</w:t>
      </w:r>
    </w:p>
    <w:p>
      <w:pPr>
        <w:numPr>
          <w:ilvl w:val="0"/>
          <w:numId w:val="1005"/>
        </w:numPr>
        <w:pStyle w:val="Compact"/>
      </w:pPr>
      <w:r>
        <w:t xml:space="preserve">Letting Python lower a priority. Python may only raise it.</w:t>
      </w:r>
    </w:p>
    <w:p>
      <w:pPr>
        <w:numPr>
          <w:ilvl w:val="0"/>
          <w:numId w:val="1005"/>
        </w:numPr>
        <w:pStyle w:val="Compact"/>
      </w:pPr>
      <w:r>
        <w:t xml:space="preserve">Defaulting to</w:t>
      </w:r>
      <w:r>
        <w:t xml:space="preserve"> </w:t>
      </w:r>
      <w:r>
        <w:t xml:space="preserve">“</w:t>
      </w:r>
      <w:r>
        <w:t xml:space="preserve">routine</w:t>
      </w:r>
      <w:r>
        <w:t xml:space="preserve">”</w:t>
      </w:r>
      <w:r>
        <w:t xml:space="preserve"> </w:t>
      </w:r>
      <w:r>
        <w:t xml:space="preserve">when the API fails. Unknown must be treated as</w:t>
      </w:r>
      <w:r>
        <w:t xml:space="preserve"> </w:t>
      </w:r>
      <w:r>
        <w:t xml:space="preserve">“</w:t>
      </w:r>
      <w:r>
        <w:t xml:space="preserve">today</w:t>
      </w:r>
      <w:r>
        <w:t xml:space="preserve">”</w:t>
      </w:r>
      <w:r>
        <w:t xml:space="preserve">.</w:t>
      </w:r>
    </w:p>
    <w:p>
      <w:pPr>
        <w:numPr>
          <w:ilvl w:val="0"/>
          <w:numId w:val="1005"/>
        </w:numPr>
        <w:pStyle w:val="Compact"/>
      </w:pPr>
      <w:r>
        <w:t xml:space="preserve">Letting the summary name a disease. The tool never diagnoses.</w:t>
      </w:r>
    </w:p>
    <w:p>
      <w:pPr>
        <w:numPr>
          <w:ilvl w:val="0"/>
          <w:numId w:val="1005"/>
        </w:numPr>
        <w:pStyle w:val="Compact"/>
      </w:pPr>
      <w:r>
        <w:t xml:space="preserve">Forgetting Tamil and Tanglish. Students in pain write the way they speak.</w:t>
      </w:r>
    </w:p>
    <w:p>
      <w:pPr>
        <w:numPr>
          <w:ilvl w:val="0"/>
          <w:numId w:val="1005"/>
        </w:numPr>
        <w:pStyle w:val="Compact"/>
      </w:pPr>
      <w:r>
        <w:t xml:space="preserve">Putting notes in summary.txt. Only the nurse sees the notes.</w:t>
      </w:r>
    </w:p>
    <w:bookmarkEnd w:id="29"/>
    <w:bookmarkEnd w:id="30"/>
    <w:sectPr>
      <w:pgSz w:w="11906" w:h="16838"/>
      <w:pgMar w:bottom="1134" w:left="1134"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pPr>
    <w:rPr>
      <w:rFonts w:ascii="Calibri" w:eastAsia="Calibri" w:hAnsi="Calibri"/>
      <w:sz w:val="21"/>
    </w:rPr>
  </w:style>
  <w:style w:styleId="BodyText" w:type="paragraph">
    <w:name w:val="Body Text"/>
    <w:basedOn w:val="Normal"/>
    <w:link w:val="BodyTextChar"/>
    <w:pPr>
      <w:spacing w:after="120" w:before="180"/>
    </w:pPr>
    <w:qFormat/>
    <w:rPr>
      <w:rFonts w:ascii="Calibri" w:eastAsia="Calibri" w:hAnsi="Calibri"/>
      <w:sz w:val="21"/>
    </w:rPr>
  </w:style>
  <w:style w:customStyle="1" w:styleId="FirstParagraph" w:type="paragraph">
    <w:name w:val="First Paragraph"/>
    <w:basedOn w:val="BodyText"/>
    <w:next w:val="BodyText"/>
    <w:qFormat/>
    <w:pPr>
      <w:spacing w:after="120"/>
    </w:pPr>
    <w:rPr>
      <w:rFonts w:ascii="Calibri" w:eastAsia="Calibri" w:hAnsi="Calibri"/>
      <w:sz w:val="21"/>
    </w:rPr>
  </w:style>
  <w:style w:customStyle="1" w:styleId="Compact" w:type="paragraph">
    <w:name w:val="Compact"/>
    <w:basedOn w:val="BodyText"/>
    <w:qFormat/>
    <w:pPr>
      <w:spacing w:after="120" w:before="36"/>
    </w:pPr>
    <w:rPr>
      <w:rFonts w:ascii="Calibri" w:eastAsia="Calibri" w:hAnsi="Calibri"/>
      <w:sz w:val="21"/>
    </w:rPr>
  </w:style>
  <w:style w:styleId="Title" w:type="paragraph">
    <w:name w:val="Title"/>
    <w:basedOn w:val="Normal"/>
    <w:next w:val="BodyText"/>
    <w:qFormat/>
    <w:pPr>
      <w:keepNext/>
      <w:keepLines/>
      <w:spacing w:after="240" w:before="200"/>
      <w:jc w:val="center"/>
    </w:pPr>
    <w:rPr>
      <w:rFonts w:ascii="Calibri" w:hAnsi="Calibri"/>
      <w:b/>
      <w:bCs/>
      <w:i w:val="0"/>
      <w:color w:val="1F3A5F"/>
      <w:sz w:val="44"/>
      <w:szCs w:val="36"/>
    </w:rPr>
  </w:style>
  <w:style w:styleId="Subtitle" w:type="paragraph">
    <w:name w:val="Subtitle"/>
    <w:basedOn w:val="Title"/>
    <w:next w:val="BodyText"/>
    <w:qFormat/>
    <w:pPr>
      <w:keepNext/>
      <w:keepLines/>
      <w:spacing w:after="240" w:before="200"/>
      <w:jc w:val="center"/>
    </w:pPr>
    <w:rPr>
      <w:rFonts w:ascii="Calibri" w:hAnsi="Calibri"/>
      <w:b w:val="0"/>
      <w:i w:val="0"/>
      <w:color w:val="C25B1E"/>
      <w:sz w:val="24"/>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200"/>
      <w:outlineLvl w:val="0"/>
    </w:pPr>
    <w:rPr>
      <w:rFonts w:ascii="Calibri" w:hAnsi="Calibri"/>
      <w:b/>
      <w:bCs/>
      <w:i w:val="0"/>
      <w:color w:val="1F3A5F"/>
      <w:sz w:val="32"/>
      <w:szCs w:val="32"/>
    </w:rPr>
  </w:style>
  <w:style w:styleId="Heading2" w:type="paragraph">
    <w:name w:val="Heading 2"/>
    <w:basedOn w:val="Normal"/>
    <w:next w:val="BodyText"/>
    <w:uiPriority w:val="9"/>
    <w:unhideWhenUsed/>
    <w:qFormat/>
    <w:pPr>
      <w:keepNext/>
      <w:keepLines/>
      <w:spacing w:after="0" w:before="280"/>
      <w:outlineLvl w:val="1"/>
    </w:pPr>
    <w:rPr>
      <w:rFonts w:ascii="Calibri" w:hAnsi="Calibri"/>
      <w:b/>
      <w:bCs/>
      <w:i w:val="0"/>
      <w:color w:val="1F3A5F"/>
      <w:sz w:val="28"/>
      <w:szCs w:val="28"/>
    </w:rPr>
  </w:style>
  <w:style w:styleId="Heading3" w:type="paragraph">
    <w:name w:val="Heading 3"/>
    <w:basedOn w:val="Normal"/>
    <w:next w:val="BodyText"/>
    <w:uiPriority w:val="9"/>
    <w:unhideWhenUsed/>
    <w:qFormat/>
    <w:pPr>
      <w:keepNext/>
      <w:keepLines/>
      <w:spacing w:after="0" w:before="200"/>
      <w:outlineLvl w:val="2"/>
    </w:pPr>
    <w:rPr>
      <w:rFonts w:ascii="Calibri" w:hAnsi="Calibri"/>
      <w:b/>
      <w:bCs/>
      <w:i w:val="0"/>
      <w:color w:val="1F3A5F"/>
      <w:sz w:val="23"/>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color w:val="9A3B0E"/>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pPr>
      <w:shd w:val="clear" w:color="auto" w:fill="F2F4F7"/>
      <w:pBdr>
        <w:left w:val="single" w:sz="18" w:space="6" w:color="C25B1E"/>
      </w:pBdr>
      <w:spacing w:after="160" w:line="240" w:lineRule="auto"/>
      <w:ind w:left="170"/>
    </w:pPr>
    <w:rPr>
      <w:rFonts w:ascii="Consolas" w:hAnsi="Consolas"/>
      <w:sz w:val="17"/>
      <w:rFonts w:ascii="Consolas" w:hAnsi="Consolas" w:cs="Consolas"/>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Capstone Project Spec: Clinic Visit Sorter</dc:title>
  <dc:creator/>
  <cp:keywords/>
  <dcterms:created xsi:type="dcterms:W3CDTF">2026-10-08T10:38:32Z</dcterms:created>
  <dcterms:modified xsi:type="dcterms:W3CDTF">2026-10-08T10:38:32Z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CIT AI-Native Engineering Programme · Semester 1 · Assessment 5</vt:lpwstr>
  </property>
</Properties>
</file>