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Capstone</w:t>
      </w:r>
      <w:r>
        <w:t xml:space="preserve"> </w:t>
      </w:r>
      <w:r>
        <w:t xml:space="preserve">Project</w:t>
      </w:r>
      <w:r>
        <w:t xml:space="preserve"> </w:t>
      </w:r>
      <w:r>
        <w:t xml:space="preserve">Spec:</w:t>
      </w:r>
      <w:r>
        <w:t xml:space="preserve"> </w:t>
      </w:r>
      <w:r>
        <w:t xml:space="preserve">Lost</w:t>
      </w:r>
      <w:r>
        <w:t xml:space="preserve"> </w:t>
      </w:r>
      <w:r>
        <w:t xml:space="preserve">and</w:t>
      </w:r>
      <w:r>
        <w:t xml:space="preserve"> </w:t>
      </w:r>
      <w:r>
        <w:t xml:space="preserve">Found</w:t>
      </w:r>
      <w:r>
        <w:t xml:space="preserve"> </w:t>
      </w:r>
      <w:r>
        <w:t xml:space="preserve">Matcher</w:t>
      </w:r>
    </w:p>
    <w:p>
      <w:pPr>
        <w:pStyle w:val="Subtitle"/>
      </w:pPr>
      <w:r>
        <w:t xml:space="preserve">CIT</w:t>
      </w:r>
      <w:r>
        <w:t xml:space="preserve"> </w:t>
      </w:r>
      <w:r>
        <w:t xml:space="preserve">AI-Native</w:t>
      </w:r>
      <w:r>
        <w:t xml:space="preserve"> </w:t>
      </w:r>
      <w:r>
        <w:t xml:space="preserve">Engineering</w:t>
      </w:r>
      <w:r>
        <w:t xml:space="preserve"> </w:t>
      </w:r>
      <w:r>
        <w:t xml:space="preserve">Programme</w:t>
      </w:r>
      <w:r>
        <w:t xml:space="preserve"> </w:t>
      </w:r>
      <w:r>
        <w:t xml:space="preserve">·</w:t>
      </w:r>
      <w:r>
        <w:t xml:space="preserve"> </w:t>
      </w:r>
      <w:r>
        <w:t xml:space="preserve">Semester</w:t>
      </w:r>
      <w:r>
        <w:t xml:space="preserve"> </w:t>
      </w:r>
      <w:r>
        <w:t xml:space="preserve">1</w:t>
      </w:r>
      <w:r>
        <w:t xml:space="preserve"> </w:t>
      </w:r>
      <w:r>
        <w:t xml:space="preserve">·</w:t>
      </w:r>
      <w:r>
        <w:t xml:space="preserve"> </w:t>
      </w:r>
      <w:r>
        <w:t xml:space="preserve">Assessment</w:t>
      </w:r>
      <w:r>
        <w:t xml:space="preserve"> </w:t>
      </w:r>
      <w:r>
        <w:t xml:space="preserve">5</w:t>
      </w:r>
    </w:p>
    <w:bookmarkStart w:id="20" w:name="project-overview"/>
    <w:p>
      <w:pPr>
        <w:pStyle w:val="Heading2"/>
      </w:pPr>
      <w:r>
        <w:t xml:space="preserve">Project overview</w:t>
      </w:r>
    </w:p>
    <w:p>
      <w:pPr>
        <w:pStyle w:val="FirstParagraph"/>
      </w:pPr>
      <w:r>
        <w:t xml:space="preserve">You will build a console-based Python tool that reads lost reports and found reports. An LLM pulls out the item, colour, brand and place from each report. Your Python code checks those details, then compares every lost report with every found report and suggests matches with a simple score. This is an individual project. It is due at the Week 15 showcase and counts as Assessment 5 (40%).</w:t>
      </w:r>
    </w:p>
    <w:p>
      <w:pPr>
        <w:pStyle w:val="BodyText"/>
      </w:pPr>
      <w:r>
        <w:rPr>
          <w:bCs/>
          <w:b/>
        </w:rPr>
        <w:t xml:space="preserve">Domain:</w:t>
      </w:r>
      <w:r>
        <w:t xml:space="preserve"> </w:t>
      </w:r>
      <w:r>
        <w:t xml:space="preserve">Campus services</w:t>
      </w:r>
    </w:p>
    <w:p>
      <w:pPr>
        <w:pStyle w:val="BodyText"/>
      </w:pPr>
      <w:r>
        <w:rPr>
          <w:bCs/>
          <w:b/>
        </w:rPr>
        <w:t xml:space="preserve">The problem.</w:t>
      </w:r>
      <w:r>
        <w:t xml:space="preserve"> </w:t>
      </w:r>
      <w:r>
        <w:t xml:space="preserve">The help desk has a register of lost reports and a cupboard of found items. Matching them means reading every report against every item. Things stay unclaimed for weeks, and vague claims like</w:t>
      </w:r>
      <w:r>
        <w:t xml:space="preserve"> </w:t>
      </w:r>
      <w:r>
        <w:t xml:space="preserve">“</w:t>
      </w:r>
      <w:r>
        <w:t xml:space="preserve">I lost a phone</w:t>
      </w:r>
      <w:r>
        <w:t xml:space="preserve">”</w:t>
      </w:r>
      <w:r>
        <w:t xml:space="preserve"> </w:t>
      </w:r>
      <w:r>
        <w:t xml:space="preserve">are hard to check.</w:t>
      </w:r>
    </w:p>
    <w:p>
      <w:pPr>
        <w:pStyle w:val="BodyText"/>
      </w:pPr>
      <w:r>
        <w:rPr>
          <w:bCs/>
          <w:b/>
        </w:rPr>
        <w:t xml:space="preserve">What your tool does.</w:t>
      </w:r>
      <w:r>
        <w:t xml:space="preserve"> </w:t>
      </w:r>
      <w:r>
        <w:t xml:space="preserve">It suggests which found items might belong to which lost reports, explains why, and flags items that more than one person might claim.</w:t>
      </w:r>
      <w:r>
        <w:t xml:space="preserve"> </w:t>
      </w:r>
      <w:r>
        <w:rPr>
          <w:bCs/>
          <w:b/>
        </w:rPr>
        <w:t xml:space="preserve">The tool never decides ownership.</w:t>
      </w:r>
      <w:r>
        <w:t xml:space="preserve"> </w:t>
      </w:r>
      <w:r>
        <w:t xml:space="preserve">The help desk checks every owner with a detail that isn’t in either report.</w:t>
      </w:r>
    </w:p>
    <w:p>
      <w:pPr>
        <w:pStyle w:val="BodyText"/>
      </w:pPr>
      <w:r>
        <w:t xml:space="preserve">If you already have your own domain system from Week 1, you can build that instead, using the same structure and checklist in this spec. Get faculty approval before you start.</w:t>
      </w:r>
    </w:p>
    <w:bookmarkEnd w:id="20"/>
    <w:bookmarkStart w:id="25" w:name="what-you-will-build"/>
    <w:p>
      <w:pPr>
        <w:pStyle w:val="Heading2"/>
      </w:pPr>
      <w:r>
        <w:t xml:space="preserve">What you will build</w:t>
      </w:r>
    </w:p>
    <w:p>
      <w:pPr>
        <w:pStyle w:val="FirstParagraph"/>
      </w:pPr>
      <w:r>
        <w:t xml:space="preserve">The tool runs from the console, reads two CSV files, and writes four output files.</w:t>
      </w:r>
    </w:p>
    <w:bookmarkStart w:id="21" w:name="inputs"/>
    <w:p>
      <w:pPr>
        <w:pStyle w:val="Heading3"/>
      </w:pPr>
      <w:r>
        <w:t xml:space="preserve">Inputs</w:t>
      </w:r>
    </w:p>
    <w:p>
      <w:pPr>
        <w:pStyle w:val="FirstParagraph"/>
      </w:pPr>
      <w:r>
        <w:rPr>
          <w:bCs/>
          <w:b/>
        </w:rPr>
        <w:t xml:space="preserve">lost.csv</w:t>
      </w:r>
      <w:r>
        <w:t xml:space="preserve"> </w:t>
      </w:r>
      <w:r>
        <w:t xml:space="preserve">and</w:t>
      </w:r>
      <w:r>
        <w:t xml:space="preserve"> </w:t>
      </w:r>
      <w:r>
        <w:rPr>
          <w:bCs/>
          <w:b/>
        </w:rPr>
        <w:t xml:space="preserve">found.csv</w:t>
      </w:r>
      <w:r>
        <w:t xml:space="preserve">, at least 10 reports each.</w:t>
      </w:r>
    </w:p>
    <w:p>
      <w:pPr>
        <w:pStyle w:val="SourceCode"/>
      </w:pPr>
      <w:r>
        <w:rPr>
          <w:rStyle w:val="VerbatimChar"/>
        </w:rPr>
        <w:t xml:space="preserve">id,date,report</w:t>
      </w:r>
      <w:r>
        <w:br/>
      </w:r>
      <w:r>
        <w:rPr>
          <w:rStyle w:val="VerbatimChar"/>
        </w:rPr>
        <w:t xml:space="preserve">L01,2026-10-05,Lost my black Samsung phone near the library</w:t>
      </w:r>
      <w:r>
        <w:br/>
      </w:r>
      <w:r>
        <w:rPr>
          <w:rStyle w:val="VerbatimChar"/>
        </w:rPr>
        <w:t xml:space="preserve">L02,2026-10-05,Blue water bottle missing from the canteen</w:t>
      </w:r>
      <w:r>
        <w:br/>
      </w:r>
      <w:r>
        <w:rPr>
          <w:rStyle w:val="VerbatimChar"/>
        </w:rPr>
        <w:t xml:space="preserve">L08,2026-10-08,My black phone is missing</w:t>
      </w:r>
    </w:p>
    <w:p>
      <w:pPr>
        <w:pStyle w:val="SourceCode"/>
      </w:pPr>
      <w:r>
        <w:rPr>
          <w:rStyle w:val="VerbatimChar"/>
        </w:rPr>
        <w:t xml:space="preserve">id,date,report</w:t>
      </w:r>
      <w:r>
        <w:br/>
      </w:r>
      <w:r>
        <w:rPr>
          <w:rStyle w:val="VerbatimChar"/>
        </w:rPr>
        <w:t xml:space="preserve">F01,2026-10-05,Black Samsung phone found on a library table</w:t>
      </w:r>
      <w:r>
        <w:br/>
      </w:r>
      <w:r>
        <w:rPr>
          <w:rStyle w:val="VerbatimChar"/>
        </w:rPr>
        <w:t xml:space="preserve">F07,2026-10-08,Black phone found near the canteen</w:t>
      </w:r>
      <w:r>
        <w:br/>
      </w:r>
      <w:r>
        <w:rPr>
          <w:rStyle w:val="VerbatimChar"/>
        </w:rPr>
        <w:t xml:space="preserve">F12,2026-10-09,Red bottle found at the bus stop</w:t>
      </w:r>
    </w:p>
    <w:bookmarkEnd w:id="21"/>
    <w:bookmarkStart w:id="22" w:name="what-the-llm-must-return-for-each-report"/>
    <w:p>
      <w:pPr>
        <w:pStyle w:val="Heading3"/>
      </w:pPr>
      <w:r>
        <w:t xml:space="preserve">What the LLM must return for each report</w:t>
      </w:r>
    </w:p>
    <w:p>
      <w:pPr>
        <w:pStyle w:val="SourceCode"/>
      </w:pPr>
      <w:r>
        <w:rPr>
          <w:rStyle w:val="VerbatimChar"/>
        </w:rPr>
        <w:t xml:space="preserve">{"item": "phone", "colour": "black", "brand": "Samsung", "place": "library", "summary": "Black Samsung phone, library"}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1812"/>
        <w:gridCol w:w="5272"/>
        <w:gridCol w:w="2553"/>
      </w:tblGrid>
      <w:tr>
        <w:trPr>
          <w:tblHeader w:val="true"/>
        </w:trPr>
        <w:tc>
          <w:tcPr>
            <w:tcW w:w="1812" w:type="dxa"/>
            <w:shd w:val="clear" w:fill="1F3A5F"/>
            <w:tcMar>
              <w:top w:w="60" w:type="dxa"/>
              <w:bottom w:w="60" w:type="dxa"/>
              <w:left w:w="90" w:type="dxa"/>
              <w:right w:w="90" w:type="dxa"/>
            </w:tcMar>
          </w:tcPr>
          <w:p>
            <w:pPr>
              <w:pStyle w:val="Compact"/>
              <w:spacing w:after="0" w:before="0"/>
              <w:jc w:val="left"/>
            </w:pPr>
            <w:r>
              <w:rPr>
                <w:b/>
                <w:color w:val="FFFFFF"/>
                <w:sz w:val="19"/>
              </w:rPr>
              <w:t xml:space="preserve">Field</w:t>
            </w:r>
          </w:p>
        </w:tc>
        <w:tc>
          <w:tcPr>
            <w:tcW w:w="5272" w:type="dxa"/>
            <w:shd w:val="clear" w:fill="1F3A5F"/>
            <w:tcMar>
              <w:top w:w="60" w:type="dxa"/>
              <w:bottom w:w="60" w:type="dxa"/>
              <w:left w:w="90" w:type="dxa"/>
              <w:right w:w="90" w:type="dxa"/>
            </w:tcMar>
          </w:tcPr>
          <w:p>
            <w:pPr>
              <w:pStyle w:val="Compact"/>
              <w:spacing w:after="0" w:before="0"/>
              <w:jc w:val="left"/>
            </w:pPr>
            <w:r>
              <w:rPr>
                <w:b/>
                <w:color w:val="FFFFFF"/>
                <w:sz w:val="19"/>
              </w:rPr>
              <w:t xml:space="preserve">Allowed values</w:t>
            </w:r>
          </w:p>
        </w:tc>
        <w:tc>
          <w:tcPr>
            <w:tcW w:w="2553" w:type="dxa"/>
            <w:shd w:val="clear" w:fill="1F3A5F"/>
            <w:tcMar>
              <w:top w:w="60" w:type="dxa"/>
              <w:bottom w:w="60" w:type="dxa"/>
              <w:left w:w="90" w:type="dxa"/>
              <w:right w:w="90" w:type="dxa"/>
            </w:tcMar>
          </w:tcPr>
          <w:p>
            <w:pPr>
              <w:pStyle w:val="Compact"/>
              <w:spacing w:after="0" w:before="0"/>
              <w:jc w:val="left"/>
            </w:pPr>
            <w:r>
              <w:rPr>
                <w:b/>
                <w:color w:val="FFFFFF"/>
                <w:sz w:val="19"/>
              </w:rPr>
              <w:t xml:space="preserve">Rule</w:t>
            </w:r>
          </w:p>
        </w:tc>
      </w:tr>
      <w:tr>
        <w:tc>
          <w:tcPr>
            <w:tcW w:w="1812" w:type="dxa"/>
            <w:tcMar>
              <w:top w:w="60" w:type="dxa"/>
              <w:bottom w:w="60" w:type="dxa"/>
              <w:left w:w="90" w:type="dxa"/>
              <w:right w:w="90" w:type="dxa"/>
            </w:tcMar>
          </w:tcPr>
          <w:p>
            <w:pPr>
              <w:pStyle w:val="Compact"/>
              <w:spacing w:after="0" w:before="0"/>
              <w:jc w:val="left"/>
            </w:pPr>
            <w:r>
              <w:rPr>
                <w:sz w:val="19"/>
              </w:rPr>
              <w:t xml:space="preserve">item</w:t>
            </w:r>
          </w:p>
        </w:tc>
        <w:tc>
          <w:tcPr>
            <w:tcW w:w="5272" w:type="dxa"/>
            <w:tcMar>
              <w:top w:w="60" w:type="dxa"/>
              <w:bottom w:w="60" w:type="dxa"/>
              <w:left w:w="90" w:type="dxa"/>
              <w:right w:w="90" w:type="dxa"/>
            </w:tcMar>
          </w:tcPr>
          <w:p>
            <w:pPr>
              <w:pStyle w:val="Compact"/>
              <w:spacing w:after="0" w:before="0"/>
              <w:jc w:val="left"/>
            </w:pPr>
            <w:r>
              <w:rPr>
                <w:sz w:val="19"/>
              </w:rPr>
              <w:t xml:space="preserve">phone, wallet, id_card, bottle, bag, earphones, keys, umbrella, calculator, watch, spectacles, other</w:t>
            </w:r>
          </w:p>
        </w:tc>
        <w:tc>
          <w:tcPr>
            <w:tcW w:w="2553" w:type="dxa"/>
            <w:tcMar>
              <w:top w:w="60" w:type="dxa"/>
              <w:bottom w:w="60" w:type="dxa"/>
              <w:left w:w="90" w:type="dxa"/>
              <w:right w:w="90" w:type="dxa"/>
            </w:tcMar>
          </w:tcPr>
          <w:p>
            <w:pPr>
              <w:pStyle w:val="Compact"/>
              <w:spacing w:after="0" w:before="0"/>
              <w:jc w:val="left"/>
            </w:pPr>
            <w:r>
              <w:rPr>
                <w:sz w:val="19"/>
              </w:rPr>
              <w:t xml:space="preserve">Pick the one that fits</w:t>
            </w:r>
          </w:p>
        </w:tc>
      </w:tr>
      <w:tr>
        <w:tc>
          <w:tcPr>
            <w:tcW w:w="1812" w:type="dxa"/>
            <w:tcMar>
              <w:top w:w="60" w:type="dxa"/>
              <w:bottom w:w="60" w:type="dxa"/>
              <w:left w:w="90" w:type="dxa"/>
              <w:right w:w="90" w:type="dxa"/>
            </w:tcMar>
          </w:tcPr>
          <w:p>
            <w:pPr>
              <w:pStyle w:val="Compact"/>
              <w:spacing w:after="0" w:before="0"/>
              <w:jc w:val="left"/>
            </w:pPr>
            <w:r>
              <w:rPr>
                <w:sz w:val="19"/>
              </w:rPr>
              <w:t xml:space="preserve">colour</w:t>
            </w:r>
          </w:p>
        </w:tc>
        <w:tc>
          <w:tcPr>
            <w:tcW w:w="5272" w:type="dxa"/>
            <w:tcMar>
              <w:top w:w="60" w:type="dxa"/>
              <w:bottom w:w="60" w:type="dxa"/>
              <w:left w:w="90" w:type="dxa"/>
              <w:right w:w="90" w:type="dxa"/>
            </w:tcMar>
          </w:tcPr>
          <w:p>
            <w:pPr>
              <w:pStyle w:val="Compact"/>
              <w:spacing w:after="0" w:before="0"/>
              <w:jc w:val="left"/>
            </w:pPr>
            <w:r>
              <w:rPr>
                <w:sz w:val="19"/>
              </w:rPr>
              <w:t xml:space="preserve">one of 10 colours, or null</w:t>
            </w:r>
          </w:p>
        </w:tc>
        <w:tc>
          <w:tcPr>
            <w:tcW w:w="2553" w:type="dxa"/>
            <w:tcMar>
              <w:top w:w="60" w:type="dxa"/>
              <w:bottom w:w="60" w:type="dxa"/>
              <w:left w:w="90" w:type="dxa"/>
              <w:right w:w="90" w:type="dxa"/>
            </w:tcMar>
          </w:tcPr>
          <w:p>
            <w:pPr>
              <w:pStyle w:val="Compact"/>
              <w:spacing w:after="0" w:before="0"/>
              <w:jc w:val="left"/>
            </w:pPr>
            <w:r>
              <w:rPr>
                <w:sz w:val="19"/>
              </w:rPr>
              <w:t xml:space="preserve">Only if written</w:t>
            </w:r>
          </w:p>
        </w:tc>
      </w:tr>
      <w:tr>
        <w:tc>
          <w:tcPr>
            <w:tcW w:w="1812" w:type="dxa"/>
            <w:tcMar>
              <w:top w:w="60" w:type="dxa"/>
              <w:bottom w:w="60" w:type="dxa"/>
              <w:left w:w="90" w:type="dxa"/>
              <w:right w:w="90" w:type="dxa"/>
            </w:tcMar>
          </w:tcPr>
          <w:p>
            <w:pPr>
              <w:pStyle w:val="Compact"/>
              <w:spacing w:after="0" w:before="0"/>
              <w:jc w:val="left"/>
            </w:pPr>
            <w:r>
              <w:rPr>
                <w:sz w:val="19"/>
              </w:rPr>
              <w:t xml:space="preserve">brand</w:t>
            </w:r>
          </w:p>
        </w:tc>
        <w:tc>
          <w:tcPr>
            <w:tcW w:w="5272" w:type="dxa"/>
            <w:tcMar>
              <w:top w:w="60" w:type="dxa"/>
              <w:bottom w:w="60" w:type="dxa"/>
              <w:left w:w="90" w:type="dxa"/>
              <w:right w:w="90" w:type="dxa"/>
            </w:tcMar>
          </w:tcPr>
          <w:p>
            <w:pPr>
              <w:pStyle w:val="Compact"/>
              <w:spacing w:after="0" w:before="0"/>
              <w:jc w:val="left"/>
            </w:pPr>
            <w:r>
              <w:rPr>
                <w:sz w:val="19"/>
              </w:rPr>
              <w:t xml:space="preserve">as written, or null</w:t>
            </w:r>
          </w:p>
        </w:tc>
        <w:tc>
          <w:tcPr>
            <w:tcW w:w="2553" w:type="dxa"/>
            <w:tcMar>
              <w:top w:w="60" w:type="dxa"/>
              <w:bottom w:w="60" w:type="dxa"/>
              <w:left w:w="90" w:type="dxa"/>
              <w:right w:w="90" w:type="dxa"/>
            </w:tcMar>
          </w:tcPr>
          <w:p>
            <w:pPr>
              <w:pStyle w:val="Compact"/>
              <w:spacing w:after="0" w:before="0"/>
              <w:jc w:val="left"/>
            </w:pPr>
            <w:r>
              <w:rPr>
                <w:bCs/>
                <w:b/>
                <w:sz w:val="19"/>
              </w:rPr>
              <w:t xml:space="preserve">Never guessed</w:t>
            </w:r>
            <w:r>
              <w:rPr>
                <w:sz w:val="19"/>
              </w:rPr>
              <w:t xml:space="preserve"> </w:t>
            </w:r>
            <w:r>
              <w:rPr>
                <w:sz w:val="19"/>
              </w:rPr>
              <w:t xml:space="preserve">from the item</w:t>
            </w:r>
          </w:p>
        </w:tc>
      </w:tr>
      <w:tr>
        <w:tc>
          <w:tcPr>
            <w:tcW w:w="1812" w:type="dxa"/>
            <w:tcMar>
              <w:top w:w="60" w:type="dxa"/>
              <w:bottom w:w="60" w:type="dxa"/>
              <w:left w:w="90" w:type="dxa"/>
              <w:right w:w="90" w:type="dxa"/>
            </w:tcMar>
          </w:tcPr>
          <w:p>
            <w:pPr>
              <w:pStyle w:val="Compact"/>
              <w:spacing w:after="0" w:before="0"/>
              <w:jc w:val="left"/>
            </w:pPr>
            <w:r>
              <w:rPr>
                <w:sz w:val="19"/>
              </w:rPr>
              <w:t xml:space="preserve">place</w:t>
            </w:r>
          </w:p>
        </w:tc>
        <w:tc>
          <w:tcPr>
            <w:tcW w:w="5272" w:type="dxa"/>
            <w:tcMar>
              <w:top w:w="60" w:type="dxa"/>
              <w:bottom w:w="60" w:type="dxa"/>
              <w:left w:w="90" w:type="dxa"/>
              <w:right w:w="90" w:type="dxa"/>
            </w:tcMar>
          </w:tcPr>
          <w:p>
            <w:pPr>
              <w:pStyle w:val="Compact"/>
              <w:spacing w:after="0" w:before="0"/>
              <w:jc w:val="left"/>
            </w:pPr>
            <w:r>
              <w:rPr>
                <w:sz w:val="19"/>
              </w:rPr>
              <w:t xml:space="preserve">one of the campus places, or null</w:t>
            </w:r>
          </w:p>
        </w:tc>
        <w:tc>
          <w:tcPr>
            <w:tcW w:w="2553" w:type="dxa"/>
            <w:tcMar>
              <w:top w:w="60" w:type="dxa"/>
              <w:bottom w:w="60" w:type="dxa"/>
              <w:left w:w="90" w:type="dxa"/>
              <w:right w:w="90" w:type="dxa"/>
            </w:tcMar>
          </w:tcPr>
          <w:p>
            <w:pPr>
              <w:pStyle w:val="Compact"/>
              <w:spacing w:after="0" w:before="0"/>
              <w:jc w:val="left"/>
            </w:pPr>
            <w:r>
              <w:rPr>
                <w:sz w:val="19"/>
              </w:rPr>
              <w:t xml:space="preserve">Only if written</w:t>
            </w:r>
          </w:p>
        </w:tc>
      </w:tr>
      <w:tr>
        <w:tc>
          <w:tcPr>
            <w:tcW w:w="1812" w:type="dxa"/>
            <w:tcMar>
              <w:top w:w="60" w:type="dxa"/>
              <w:bottom w:w="60" w:type="dxa"/>
              <w:left w:w="90" w:type="dxa"/>
              <w:right w:w="90" w:type="dxa"/>
            </w:tcMar>
          </w:tcPr>
          <w:p>
            <w:pPr>
              <w:pStyle w:val="Compact"/>
              <w:spacing w:after="0" w:before="0"/>
              <w:jc w:val="left"/>
            </w:pPr>
            <w:r>
              <w:rPr>
                <w:sz w:val="19"/>
              </w:rPr>
              <w:t xml:space="preserve">summary</w:t>
            </w:r>
          </w:p>
        </w:tc>
        <w:tc>
          <w:tcPr>
            <w:tcW w:w="5272" w:type="dxa"/>
            <w:tcMar>
              <w:top w:w="60" w:type="dxa"/>
              <w:bottom w:w="60" w:type="dxa"/>
              <w:left w:w="90" w:type="dxa"/>
              <w:right w:w="90" w:type="dxa"/>
            </w:tcMar>
          </w:tcPr>
          <w:p>
            <w:pPr>
              <w:pStyle w:val="Compact"/>
              <w:spacing w:after="0" w:before="0"/>
              <w:jc w:val="left"/>
            </w:pPr>
            <w:r>
              <w:rPr>
                <w:sz w:val="19"/>
              </w:rPr>
              <w:t xml:space="preserve">text</w:t>
            </w:r>
          </w:p>
        </w:tc>
        <w:tc>
          <w:tcPr>
            <w:tcW w:w="2553" w:type="dxa"/>
            <w:tcMar>
              <w:top w:w="60" w:type="dxa"/>
              <w:bottom w:w="60" w:type="dxa"/>
              <w:left w:w="90" w:type="dxa"/>
              <w:right w:w="90" w:type="dxa"/>
            </w:tcMar>
          </w:tcPr>
          <w:p>
            <w:pPr>
              <w:pStyle w:val="Compact"/>
              <w:spacing w:after="0" w:before="0"/>
              <w:jc w:val="left"/>
            </w:pPr>
            <w:r>
              <w:rPr>
                <w:sz w:val="19"/>
              </w:rPr>
              <w:t xml:space="preserve">8 words or fewer, no names</w:t>
            </w:r>
          </w:p>
        </w:tc>
      </w:tr>
    </w:tbl>
    <w:bookmarkEnd w:id="22"/>
    <w:bookmarkStart w:id="23" w:name="python-rules"/>
    <w:p>
      <w:pPr>
        <w:pStyle w:val="Heading3"/>
      </w:pPr>
      <w:r>
        <w:t xml:space="preserve">Python rules</w:t>
      </w:r>
    </w:p>
    <w:p>
      <w:pPr>
        <w:numPr>
          <w:ilvl w:val="0"/>
          <w:numId w:val="1001"/>
        </w:numPr>
        <w:pStyle w:val="Compact"/>
      </w:pPr>
      <w:r>
        <w:rPr>
          <w:bCs/>
          <w:b/>
        </w:rPr>
        <w:t xml:space="preserve">Check the facts.</w:t>
      </w:r>
      <w:r>
        <w:t xml:space="preserve"> </w:t>
      </w:r>
      <w:r>
        <w:t xml:space="preserve">Colour, brand and place must appear in the report text; otherwise null.</w:t>
      </w:r>
    </w:p>
    <w:p>
      <w:pPr>
        <w:numPr>
          <w:ilvl w:val="0"/>
          <w:numId w:val="1001"/>
        </w:numPr>
        <w:pStyle w:val="Compact"/>
      </w:pPr>
      <w:r>
        <w:rPr>
          <w:bCs/>
          <w:b/>
        </w:rPr>
        <w:t xml:space="preserve">Same item required.</w:t>
      </w:r>
      <w:r>
        <w:t xml:space="preserve"> </w:t>
      </w:r>
      <w:r>
        <w:t xml:space="preserve">“</w:t>
      </w:r>
      <w:r>
        <w:t xml:space="preserve">other</w:t>
      </w:r>
      <w:r>
        <w:t xml:space="preserve">”</w:t>
      </w:r>
      <w:r>
        <w:t xml:space="preserve"> </w:t>
      </w:r>
      <w:r>
        <w:t xml:space="preserve">never matches automatically. Reports more than 30 days apart don’t match.</w:t>
      </w:r>
    </w:p>
    <w:p>
      <w:pPr>
        <w:numPr>
          <w:ilvl w:val="0"/>
          <w:numId w:val="1001"/>
        </w:numPr>
        <w:pStyle w:val="Compact"/>
      </w:pPr>
      <w:r>
        <w:rPr>
          <w:bCs/>
          <w:b/>
        </w:rPr>
        <w:t xml:space="preserve">Hard mismatch.</w:t>
      </w:r>
      <w:r>
        <w:t xml:space="preserve"> </w:t>
      </w:r>
      <w:r>
        <w:t xml:space="preserve">If both reports give a colour (or a brand) and they differ, it is</w:t>
      </w:r>
      <w:r>
        <w:t xml:space="preserve"> </w:t>
      </w:r>
      <w:r>
        <w:rPr>
          <w:bCs/>
          <w:b/>
        </w:rPr>
        <w:t xml:space="preserve">not</w:t>
      </w:r>
      <w:r>
        <w:t xml:space="preserve"> </w:t>
      </w:r>
      <w:r>
        <w:t xml:space="preserve">a match. A red bottle is never a blue bottle.</w:t>
      </w:r>
    </w:p>
    <w:p>
      <w:pPr>
        <w:numPr>
          <w:ilvl w:val="0"/>
          <w:numId w:val="1001"/>
        </w:numPr>
        <w:pStyle w:val="Compact"/>
      </w:pPr>
      <w:r>
        <w:rPr>
          <w:bCs/>
          <w:b/>
        </w:rPr>
        <w:t xml:space="preserve">Score.</w:t>
      </w:r>
      <w:r>
        <w:t xml:space="preserve"> </w:t>
      </w:r>
      <w:r>
        <w:t xml:space="preserve">Same colour +2, same brand +2, same place +1. A score of 3 or more is</w:t>
      </w:r>
      <w:r>
        <w:t xml:space="preserve"> </w:t>
      </w:r>
      <w:r>
        <w:rPr>
          <w:bCs/>
          <w:b/>
        </w:rPr>
        <w:t xml:space="preserve">likely</w:t>
      </w:r>
      <w:r>
        <w:t xml:space="preserve">; 1–2 is</w:t>
      </w:r>
      <w:r>
        <w:t xml:space="preserve"> </w:t>
      </w:r>
      <w:r>
        <w:rPr>
          <w:bCs/>
          <w:b/>
        </w:rPr>
        <w:t xml:space="preserve">possible</w:t>
      </w:r>
      <w:r>
        <w:t xml:space="preserve">; 0 is not listed.</w:t>
      </w:r>
    </w:p>
    <w:p>
      <w:pPr>
        <w:numPr>
          <w:ilvl w:val="0"/>
          <w:numId w:val="1001"/>
        </w:numPr>
        <w:pStyle w:val="Compact"/>
      </w:pPr>
      <w:r>
        <w:rPr>
          <w:bCs/>
          <w:b/>
        </w:rPr>
        <w:t xml:space="preserve">Double claims.</w:t>
      </w:r>
      <w:r>
        <w:t xml:space="preserve"> </w:t>
      </w:r>
      <w:r>
        <w:t xml:space="preserve">Flag any found item suggested for more than one lost report.</w:t>
      </w:r>
    </w:p>
    <w:p>
      <w:pPr>
        <w:pStyle w:val="FirstParagraph"/>
      </w:pPr>
      <w:r>
        <w:t xml:space="preserve">The LLM reads each report</w:t>
      </w:r>
      <w:r>
        <w:t xml:space="preserve"> </w:t>
      </w:r>
      <w:r>
        <w:rPr>
          <w:bCs/>
          <w:b/>
        </w:rPr>
        <w:t xml:space="preserve">once</w:t>
      </w:r>
      <w:r>
        <w:t xml:space="preserve">. The comparing is plain Python.</w:t>
      </w:r>
    </w:p>
    <w:bookmarkEnd w:id="23"/>
    <w:bookmarkStart w:id="24" w:name="output-files"/>
    <w:p>
      <w:pPr>
        <w:pStyle w:val="Heading3"/>
      </w:pPr>
      <w:r>
        <w:t xml:space="preserve">Output files</w:t>
      </w:r>
    </w:p>
    <w:p>
      <w:pPr>
        <w:numPr>
          <w:ilvl w:val="0"/>
          <w:numId w:val="1002"/>
        </w:numPr>
        <w:pStyle w:val="Compact"/>
      </w:pPr>
      <w:r>
        <w:rPr>
          <w:bCs/>
          <w:b/>
        </w:rPr>
        <w:t xml:space="preserve">matches.csv</w:t>
      </w:r>
      <w:r>
        <w:t xml:space="preserve">: every suggested pair, best first, with the reasons.</w:t>
      </w:r>
    </w:p>
    <w:p>
      <w:pPr>
        <w:numPr>
          <w:ilvl w:val="0"/>
          <w:numId w:val="1002"/>
        </w:numPr>
        <w:pStyle w:val="Compact"/>
      </w:pPr>
      <w:r>
        <w:rPr>
          <w:bCs/>
          <w:b/>
        </w:rPr>
        <w:t xml:space="preserve">no_match.csv</w:t>
      </w:r>
      <w:r>
        <w:t xml:space="preserve">: lost reports with no suggestion.</w:t>
      </w:r>
    </w:p>
    <w:p>
      <w:pPr>
        <w:numPr>
          <w:ilvl w:val="0"/>
          <w:numId w:val="1002"/>
        </w:numPr>
        <w:pStyle w:val="Compact"/>
      </w:pPr>
      <w:r>
        <w:rPr>
          <w:bCs/>
          <w:b/>
        </w:rPr>
        <w:t xml:space="preserve">unclaimed.csv</w:t>
      </w:r>
      <w:r>
        <w:t xml:space="preserve">: found items not matched to any report.</w:t>
      </w:r>
    </w:p>
    <w:p>
      <w:pPr>
        <w:numPr>
          <w:ilvl w:val="0"/>
          <w:numId w:val="1002"/>
        </w:numPr>
        <w:pStyle w:val="Compact"/>
      </w:pPr>
      <w:r>
        <w:rPr>
          <w:bCs/>
          <w:b/>
        </w:rPr>
        <w:t xml:space="preserve">summary.txt</w:t>
      </w:r>
      <w:r>
        <w:t xml:space="preserve">: counts, and found items wanted by more than one report.</w:t>
      </w:r>
    </w:p>
    <w:bookmarkEnd w:id="24"/>
    <w:bookmarkEnd w:id="25"/>
    <w:bookmarkStart w:id="26" w:name="what-your-project-must-include"/>
    <w:p>
      <w:pPr>
        <w:pStyle w:val="Heading2"/>
      </w:pPr>
      <w:r>
        <w:t xml:space="preserve">What your project must include</w:t>
      </w:r>
    </w:p>
    <w:p>
      <w:pPr>
        <w:pStyle w:val="FirstParagraph"/>
      </w:pPr>
      <w:r>
        <w:t xml:space="preserve">Your submission must have all seven parts below. You have done each of them in class already.</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07"/>
        <w:gridCol w:w="3271"/>
        <w:gridCol w:w="5659"/>
      </w:tblGrid>
      <w:tr>
        <w:trPr>
          <w:tblHeader w:val="true"/>
        </w:trPr>
        <w:tc>
          <w:tcPr>
            <w:tcW w:w="707" w:type="dxa"/>
            <w:shd w:val="clear" w:fill="1F3A5F"/>
            <w:tcMar>
              <w:top w:w="60" w:type="dxa"/>
              <w:bottom w:w="60" w:type="dxa"/>
              <w:left w:w="90" w:type="dxa"/>
              <w:right w:w="90" w:type="dxa"/>
            </w:tcMar>
          </w:tcPr>
          <w:p>
            <w:pPr>
              <w:pStyle w:val="Compact"/>
              <w:spacing w:after="0" w:before="0"/>
              <w:jc w:val="left"/>
            </w:pPr>
            <w:r>
              <w:rPr>
                <w:b/>
                <w:color w:val="FFFFFF"/>
                <w:sz w:val="19"/>
              </w:rPr>
              <w:t xml:space="preserve">#</w:t>
            </w:r>
          </w:p>
        </w:tc>
        <w:tc>
          <w:tcPr>
            <w:tcW w:w="3271" w:type="dxa"/>
            <w:shd w:val="clear" w:fill="1F3A5F"/>
            <w:tcMar>
              <w:top w:w="60" w:type="dxa"/>
              <w:bottom w:w="60" w:type="dxa"/>
              <w:left w:w="90" w:type="dxa"/>
              <w:right w:w="90" w:type="dxa"/>
            </w:tcMar>
          </w:tcPr>
          <w:p>
            <w:pPr>
              <w:pStyle w:val="Compact"/>
              <w:spacing w:after="0" w:before="0"/>
              <w:jc w:val="left"/>
            </w:pPr>
            <w:r>
              <w:rPr>
                <w:b/>
                <w:color w:val="FFFFFF"/>
                <w:sz w:val="19"/>
              </w:rPr>
              <w:t xml:space="preserve">Component</w:t>
            </w:r>
          </w:p>
        </w:tc>
        <w:tc>
          <w:tcPr>
            <w:tcW w:w="5659" w:type="dxa"/>
            <w:shd w:val="clear" w:fill="1F3A5F"/>
            <w:tcMar>
              <w:top w:w="60" w:type="dxa"/>
              <w:bottom w:w="60" w:type="dxa"/>
              <w:left w:w="90" w:type="dxa"/>
              <w:right w:w="90" w:type="dxa"/>
            </w:tcMar>
          </w:tcPr>
          <w:p>
            <w:pPr>
              <w:pStyle w:val="Compact"/>
              <w:spacing w:after="0" w:before="0"/>
              <w:jc w:val="left"/>
            </w:pPr>
            <w:r>
              <w:rPr>
                <w:b/>
                <w:color w:val="FFFFFF"/>
                <w:sz w:val="19"/>
              </w:rPr>
              <w:t xml:space="preserve">What it must show</w:t>
            </w:r>
          </w:p>
        </w:tc>
      </w:tr>
      <w:tr>
        <w:tc>
          <w:tcPr>
            <w:tcW w:w="707" w:type="dxa"/>
            <w:tcMar>
              <w:top w:w="60" w:type="dxa"/>
              <w:bottom w:w="60" w:type="dxa"/>
              <w:left w:w="90" w:type="dxa"/>
              <w:right w:w="90" w:type="dxa"/>
            </w:tcMar>
          </w:tcPr>
          <w:p>
            <w:pPr>
              <w:pStyle w:val="Compact"/>
              <w:spacing w:after="0" w:before="0"/>
              <w:jc w:val="left"/>
            </w:pPr>
            <w:r>
              <w:rPr>
                <w:sz w:val="19"/>
              </w:rPr>
              <w:t xml:space="preserve">1</w:t>
            </w:r>
          </w:p>
        </w:tc>
        <w:tc>
          <w:tcPr>
            <w:tcW w:w="3271" w:type="dxa"/>
            <w:tcMar>
              <w:top w:w="60" w:type="dxa"/>
              <w:bottom w:w="60" w:type="dxa"/>
              <w:left w:w="90" w:type="dxa"/>
              <w:right w:w="90" w:type="dxa"/>
            </w:tcMar>
          </w:tcPr>
          <w:p>
            <w:pPr>
              <w:pStyle w:val="Compact"/>
              <w:spacing w:after="0" w:before="0"/>
              <w:jc w:val="left"/>
            </w:pPr>
            <w:r>
              <w:rPr>
                <w:sz w:val="19"/>
              </w:rPr>
              <w:t xml:space="preserve">Specification</w:t>
            </w:r>
          </w:p>
        </w:tc>
        <w:tc>
          <w:tcPr>
            <w:tcW w:w="5659" w:type="dxa"/>
            <w:tcMar>
              <w:top w:w="60" w:type="dxa"/>
              <w:bottom w:w="60" w:type="dxa"/>
              <w:left w:w="90" w:type="dxa"/>
              <w:right w:w="90" w:type="dxa"/>
            </w:tcMar>
          </w:tcPr>
          <w:p>
            <w:pPr>
              <w:pStyle w:val="Compact"/>
              <w:spacing w:after="0" w:before="0"/>
              <w:jc w:val="left"/>
            </w:pPr>
            <w:r>
              <w:rPr>
                <w:sz w:val="19"/>
              </w:rPr>
              <w:t xml:space="preserve">One page, written before any code: the inputs, the JSON rules, the fact check, the scoring and mismatch rules, and how ownership is verified.</w:t>
            </w:r>
          </w:p>
        </w:tc>
      </w:tr>
      <w:tr>
        <w:tc>
          <w:tcPr>
            <w:tcW w:w="707" w:type="dxa"/>
            <w:tcMar>
              <w:top w:w="60" w:type="dxa"/>
              <w:bottom w:w="60" w:type="dxa"/>
              <w:left w:w="90" w:type="dxa"/>
              <w:right w:w="90" w:type="dxa"/>
            </w:tcMar>
          </w:tcPr>
          <w:p>
            <w:pPr>
              <w:pStyle w:val="Compact"/>
              <w:spacing w:after="0" w:before="0"/>
              <w:jc w:val="left"/>
            </w:pPr>
            <w:r>
              <w:rPr>
                <w:sz w:val="19"/>
              </w:rPr>
              <w:t xml:space="preserve">2</w:t>
            </w:r>
          </w:p>
        </w:tc>
        <w:tc>
          <w:tcPr>
            <w:tcW w:w="3271" w:type="dxa"/>
            <w:tcMar>
              <w:top w:w="60" w:type="dxa"/>
              <w:bottom w:w="60" w:type="dxa"/>
              <w:left w:w="90" w:type="dxa"/>
              <w:right w:w="90" w:type="dxa"/>
            </w:tcMar>
          </w:tcPr>
          <w:p>
            <w:pPr>
              <w:pStyle w:val="Compact"/>
              <w:spacing w:after="0" w:before="0"/>
              <w:jc w:val="left"/>
            </w:pPr>
            <w:r>
              <w:rPr>
                <w:sz w:val="19"/>
              </w:rPr>
              <w:t xml:space="preserve">Python program</w:t>
            </w:r>
          </w:p>
        </w:tc>
        <w:tc>
          <w:tcPr>
            <w:tcW w:w="5659" w:type="dxa"/>
            <w:tcMar>
              <w:top w:w="60" w:type="dxa"/>
              <w:bottom w:w="60" w:type="dxa"/>
              <w:left w:w="90" w:type="dxa"/>
              <w:right w:w="90" w:type="dxa"/>
            </w:tcMar>
          </w:tcPr>
          <w:p>
            <w:pPr>
              <w:pStyle w:val="Compact"/>
              <w:spacing w:after="0" w:before="0"/>
              <w:jc w:val="left"/>
            </w:pPr>
            <w:r>
              <w:rPr>
                <w:sz w:val="19"/>
              </w:rPr>
              <w:t xml:space="preserve">Functions with one job each, including read_report(), is_valid(), check_facts(), score_pair(), find_matches() and write_reports(). Uses nested loops, sorting, sets, dictionaries, datetime, file read/write and try/except.</w:t>
            </w:r>
          </w:p>
        </w:tc>
      </w:tr>
      <w:tr>
        <w:tc>
          <w:tcPr>
            <w:tcW w:w="707" w:type="dxa"/>
            <w:tcMar>
              <w:top w:w="60" w:type="dxa"/>
              <w:bottom w:w="60" w:type="dxa"/>
              <w:left w:w="90" w:type="dxa"/>
              <w:right w:w="90" w:type="dxa"/>
            </w:tcMar>
          </w:tcPr>
          <w:p>
            <w:pPr>
              <w:pStyle w:val="Compact"/>
              <w:spacing w:after="0" w:before="0"/>
              <w:jc w:val="left"/>
            </w:pPr>
            <w:r>
              <w:rPr>
                <w:sz w:val="19"/>
              </w:rPr>
              <w:t xml:space="preserve">3</w:t>
            </w:r>
          </w:p>
        </w:tc>
        <w:tc>
          <w:tcPr>
            <w:tcW w:w="3271" w:type="dxa"/>
            <w:tcMar>
              <w:top w:w="60" w:type="dxa"/>
              <w:bottom w:w="60" w:type="dxa"/>
              <w:left w:w="90" w:type="dxa"/>
              <w:right w:w="90" w:type="dxa"/>
            </w:tcMar>
          </w:tcPr>
          <w:p>
            <w:pPr>
              <w:pStyle w:val="Compact"/>
              <w:spacing w:after="0" w:before="0"/>
              <w:jc w:val="left"/>
            </w:pPr>
            <w:r>
              <w:rPr>
                <w:sz w:val="19"/>
              </w:rPr>
              <w:t xml:space="preserve">LLM call and system prompt</w:t>
            </w:r>
          </w:p>
        </w:tc>
        <w:tc>
          <w:tcPr>
            <w:tcW w:w="5659" w:type="dxa"/>
            <w:tcMar>
              <w:top w:w="60" w:type="dxa"/>
              <w:bottom w:w="60" w:type="dxa"/>
              <w:left w:w="90" w:type="dxa"/>
              <w:right w:w="90" w:type="dxa"/>
            </w:tcMar>
          </w:tcPr>
          <w:p>
            <w:pPr>
              <w:pStyle w:val="Compact"/>
              <w:spacing w:after="0" w:before="0"/>
              <w:jc w:val="left"/>
            </w:pPr>
            <w:r>
              <w:rPr>
                <w:sz w:val="19"/>
              </w:rPr>
              <w:t xml:space="preserve">Calls the LLM API from Week 12 (a free-tier key is fine) with a prompt built on the 5-role framework: Authority, Exemplar, Constraint, Rubric, Metadata. Includes at least 2 examples with the correct JSON. The key is never written inside the code.</w:t>
            </w:r>
          </w:p>
        </w:tc>
      </w:tr>
      <w:tr>
        <w:tc>
          <w:tcPr>
            <w:tcW w:w="707" w:type="dxa"/>
            <w:tcMar>
              <w:top w:w="60" w:type="dxa"/>
              <w:bottom w:w="60" w:type="dxa"/>
              <w:left w:w="90" w:type="dxa"/>
              <w:right w:w="90" w:type="dxa"/>
            </w:tcMar>
          </w:tcPr>
          <w:p>
            <w:pPr>
              <w:pStyle w:val="Compact"/>
              <w:spacing w:after="0" w:before="0"/>
              <w:jc w:val="left"/>
            </w:pPr>
            <w:r>
              <w:rPr>
                <w:sz w:val="19"/>
              </w:rPr>
              <w:t xml:space="preserve">4</w:t>
            </w:r>
          </w:p>
        </w:tc>
        <w:tc>
          <w:tcPr>
            <w:tcW w:w="3271" w:type="dxa"/>
            <w:tcMar>
              <w:top w:w="60" w:type="dxa"/>
              <w:bottom w:w="60" w:type="dxa"/>
              <w:left w:w="90" w:type="dxa"/>
              <w:right w:w="90" w:type="dxa"/>
            </w:tcMar>
          </w:tcPr>
          <w:p>
            <w:pPr>
              <w:pStyle w:val="Compact"/>
              <w:spacing w:after="0" w:before="0"/>
              <w:jc w:val="left"/>
            </w:pPr>
            <w:r>
              <w:rPr>
                <w:sz w:val="19"/>
              </w:rPr>
              <w:t xml:space="preserve">Testing</w:t>
            </w:r>
          </w:p>
        </w:tc>
        <w:tc>
          <w:tcPr>
            <w:tcW w:w="5659" w:type="dxa"/>
            <w:tcMar>
              <w:top w:w="60" w:type="dxa"/>
              <w:bottom w:w="60" w:type="dxa"/>
              <w:left w:w="90" w:type="dxa"/>
              <w:right w:w="90" w:type="dxa"/>
            </w:tcMar>
          </w:tcPr>
          <w:p>
            <w:pPr>
              <w:pStyle w:val="Compact"/>
              <w:spacing w:after="0" w:before="0"/>
              <w:jc w:val="left"/>
            </w:pPr>
            <w:r>
              <w:rPr>
                <w:sz w:val="19"/>
              </w:rPr>
              <w:t xml:space="preserve">An eval harness of 5 lost/found pairs with the expected level (likely, possible or none). Plus 3 red-team inputs: a vague claim, a report where the LLM might guess a brand, and a found report with an instruction inside it.</w:t>
            </w:r>
          </w:p>
        </w:tc>
      </w:tr>
      <w:tr>
        <w:tc>
          <w:tcPr>
            <w:tcW w:w="707" w:type="dxa"/>
            <w:tcMar>
              <w:top w:w="60" w:type="dxa"/>
              <w:bottom w:w="60" w:type="dxa"/>
              <w:left w:w="90" w:type="dxa"/>
              <w:right w:w="90" w:type="dxa"/>
            </w:tcMar>
          </w:tcPr>
          <w:p>
            <w:pPr>
              <w:pStyle w:val="Compact"/>
              <w:spacing w:after="0" w:before="0"/>
              <w:jc w:val="left"/>
            </w:pPr>
            <w:r>
              <w:rPr>
                <w:sz w:val="19"/>
              </w:rPr>
              <w:t xml:space="preserve">5</w:t>
            </w:r>
          </w:p>
        </w:tc>
        <w:tc>
          <w:tcPr>
            <w:tcW w:w="3271" w:type="dxa"/>
            <w:tcMar>
              <w:top w:w="60" w:type="dxa"/>
              <w:bottom w:w="60" w:type="dxa"/>
              <w:left w:w="90" w:type="dxa"/>
              <w:right w:w="90" w:type="dxa"/>
            </w:tcMar>
          </w:tcPr>
          <w:p>
            <w:pPr>
              <w:pStyle w:val="Compact"/>
              <w:spacing w:after="0" w:before="0"/>
              <w:jc w:val="left"/>
            </w:pPr>
            <w:r>
              <w:rPr>
                <w:sz w:val="19"/>
              </w:rPr>
              <w:t xml:space="preserve">Judgment Framework</w:t>
            </w:r>
          </w:p>
        </w:tc>
        <w:tc>
          <w:tcPr>
            <w:tcW w:w="5659" w:type="dxa"/>
            <w:tcMar>
              <w:top w:w="60" w:type="dxa"/>
              <w:bottom w:w="60" w:type="dxa"/>
              <w:left w:w="90" w:type="dxa"/>
              <w:right w:w="90" w:type="dxa"/>
            </w:tcMar>
          </w:tcPr>
          <w:p>
            <w:pPr>
              <w:pStyle w:val="Compact"/>
              <w:spacing w:after="0" w:before="0"/>
              <w:jc w:val="left"/>
            </w:pPr>
            <w:r>
              <w:rPr>
                <w:sz w:val="19"/>
              </w:rPr>
              <w:t xml:space="preserve">A table answering the three questions for each part of the tool, especially handing over an item. Name the human checkpoint: the help desk asks the owner for a detail that isn’t in either report.</w:t>
            </w:r>
          </w:p>
        </w:tc>
      </w:tr>
      <w:tr>
        <w:tc>
          <w:tcPr>
            <w:tcW w:w="707" w:type="dxa"/>
            <w:tcMar>
              <w:top w:w="60" w:type="dxa"/>
              <w:bottom w:w="60" w:type="dxa"/>
              <w:left w:w="90" w:type="dxa"/>
              <w:right w:w="90" w:type="dxa"/>
            </w:tcMar>
          </w:tcPr>
          <w:p>
            <w:pPr>
              <w:pStyle w:val="Compact"/>
              <w:spacing w:after="0" w:before="0"/>
              <w:jc w:val="left"/>
            </w:pPr>
            <w:r>
              <w:rPr>
                <w:sz w:val="19"/>
              </w:rPr>
              <w:t xml:space="preserve">6</w:t>
            </w:r>
          </w:p>
        </w:tc>
        <w:tc>
          <w:tcPr>
            <w:tcW w:w="3271" w:type="dxa"/>
            <w:tcMar>
              <w:top w:w="60" w:type="dxa"/>
              <w:bottom w:w="60" w:type="dxa"/>
              <w:left w:w="90" w:type="dxa"/>
              <w:right w:w="90" w:type="dxa"/>
            </w:tcMar>
          </w:tcPr>
          <w:p>
            <w:pPr>
              <w:pStyle w:val="Compact"/>
              <w:spacing w:after="0" w:before="0"/>
              <w:jc w:val="left"/>
            </w:pPr>
            <w:r>
              <w:rPr>
                <w:sz w:val="19"/>
              </w:rPr>
              <w:t xml:space="preserve">Cost and latency note</w:t>
            </w:r>
          </w:p>
        </w:tc>
        <w:tc>
          <w:tcPr>
            <w:tcW w:w="5659" w:type="dxa"/>
            <w:tcMar>
              <w:top w:w="60" w:type="dxa"/>
              <w:bottom w:w="60" w:type="dxa"/>
              <w:left w:w="90" w:type="dxa"/>
              <w:right w:w="90" w:type="dxa"/>
            </w:tcMar>
          </w:tcPr>
          <w:p>
            <w:pPr>
              <w:pStyle w:val="Compact"/>
              <w:spacing w:after="0" w:before="0"/>
              <w:jc w:val="left"/>
            </w:pPr>
            <w:r>
              <w:rPr>
                <w:sz w:val="19"/>
              </w:rPr>
              <w:t xml:space="preserve">How many API calls one day of input needs, roughly how long each call takes, and the estimated cost per day.</w:t>
            </w:r>
          </w:p>
        </w:tc>
      </w:tr>
      <w:tr>
        <w:tc>
          <w:tcPr>
            <w:tcW w:w="707" w:type="dxa"/>
            <w:tcMar>
              <w:top w:w="60" w:type="dxa"/>
              <w:bottom w:w="60" w:type="dxa"/>
              <w:left w:w="90" w:type="dxa"/>
              <w:right w:w="90" w:type="dxa"/>
            </w:tcMar>
          </w:tcPr>
          <w:p>
            <w:pPr>
              <w:pStyle w:val="Compact"/>
              <w:spacing w:after="0" w:before="0"/>
              <w:jc w:val="left"/>
            </w:pPr>
            <w:r>
              <w:rPr>
                <w:sz w:val="19"/>
              </w:rPr>
              <w:t xml:space="preserve">7</w:t>
            </w:r>
          </w:p>
        </w:tc>
        <w:tc>
          <w:tcPr>
            <w:tcW w:w="3271" w:type="dxa"/>
            <w:tcMar>
              <w:top w:w="60" w:type="dxa"/>
              <w:bottom w:w="60" w:type="dxa"/>
              <w:left w:w="90" w:type="dxa"/>
              <w:right w:w="90" w:type="dxa"/>
            </w:tcMar>
          </w:tcPr>
          <w:p>
            <w:pPr>
              <w:pStyle w:val="Compact"/>
              <w:spacing w:after="0" w:before="0"/>
              <w:jc w:val="left"/>
            </w:pPr>
            <w:r>
              <w:rPr>
                <w:sz w:val="19"/>
              </w:rPr>
              <w:t xml:space="preserve">GitHub repo</w:t>
            </w:r>
          </w:p>
        </w:tc>
        <w:tc>
          <w:tcPr>
            <w:tcW w:w="5659" w:type="dxa"/>
            <w:tcMar>
              <w:top w:w="60" w:type="dxa"/>
              <w:bottom w:w="60" w:type="dxa"/>
              <w:left w:w="90" w:type="dxa"/>
              <w:right w:w="90" w:type="dxa"/>
            </w:tcMar>
          </w:tcPr>
          <w:p>
            <w:pPr>
              <w:pStyle w:val="Compact"/>
              <w:spacing w:after="0" w:before="0"/>
              <w:jc w:val="left"/>
            </w:pPr>
            <w:r>
              <w:rPr>
                <w:sz w:val="19"/>
              </w:rPr>
              <w:t xml:space="preserve">README, a .gitignore that keeps the API key out, and at least 3 meaningful commits.</w:t>
            </w:r>
          </w:p>
        </w:tc>
      </w:tr>
    </w:tbl>
    <w:bookmarkEnd w:id="26"/>
    <w:bookmarkStart w:id="27" w:name="checkpoints-and-what-to-submit"/>
    <w:p>
      <w:pPr>
        <w:pStyle w:val="Heading2"/>
      </w:pPr>
      <w:r>
        <w:t xml:space="preserve">Checkpoints and what to submit</w:t>
      </w:r>
    </w:p>
    <w:p>
      <w:pPr>
        <w:pStyle w:val="FirstParagraph"/>
      </w:pPr>
      <w:r>
        <w:t xml:space="preserve">There are three checkpoints before the showcase. Faculty will share the dates. Do not skip ahead: a tool built without a signed-off spec usually has to be rebuilt.</w:t>
      </w:r>
    </w:p>
    <w:p>
      <w:pPr>
        <w:numPr>
          <w:ilvl w:val="0"/>
          <w:numId w:val="1003"/>
        </w:numPr>
        <w:pStyle w:val="Compact"/>
      </w:pPr>
      <w:r>
        <w:rPr>
          <w:bCs/>
          <w:b/>
        </w:rPr>
        <w:t xml:space="preserve">Checkpoint 1: spec signed off.</w:t>
      </w:r>
      <w:r>
        <w:t xml:space="preserve"> </w:t>
      </w:r>
      <w:r>
        <w:t xml:space="preserve">Submit your one-page spec and both CSV files. Faculty sign-off is needed before you write code.</w:t>
      </w:r>
    </w:p>
    <w:p>
      <w:pPr>
        <w:numPr>
          <w:ilvl w:val="0"/>
          <w:numId w:val="1003"/>
        </w:numPr>
        <w:pStyle w:val="Compact"/>
      </w:pPr>
      <w:r>
        <w:rPr>
          <w:bCs/>
          <w:b/>
        </w:rPr>
        <w:t xml:space="preserve">Checkpoint 2: one item, end to end.</w:t>
      </w:r>
      <w:r>
        <w:t xml:space="preserve"> </w:t>
      </w:r>
      <w:r>
        <w:t xml:space="preserve">Your program sends one report to the LLM and prints valid JSON.</w:t>
      </w:r>
    </w:p>
    <w:p>
      <w:pPr>
        <w:numPr>
          <w:ilvl w:val="0"/>
          <w:numId w:val="1003"/>
        </w:numPr>
        <w:pStyle w:val="Compact"/>
      </w:pPr>
      <w:r>
        <w:rPr>
          <w:bCs/>
          <w:b/>
        </w:rPr>
        <w:t xml:space="preserve">Checkpoint 3: full run.</w:t>
      </w:r>
      <w:r>
        <w:t xml:space="preserve"> </w:t>
      </w:r>
      <w:r>
        <w:t xml:space="preserve">All reports are read, all pairs are scored, and all four output files are written.</w:t>
      </w:r>
    </w:p>
    <w:p>
      <w:pPr>
        <w:numPr>
          <w:ilvl w:val="0"/>
          <w:numId w:val="1003"/>
        </w:numPr>
        <w:pStyle w:val="Compact"/>
      </w:pPr>
      <w:r>
        <w:rPr>
          <w:bCs/>
          <w:b/>
        </w:rPr>
        <w:t xml:space="preserve">Week 15: showcase.</w:t>
      </w:r>
      <w:r>
        <w:t xml:space="preserve"> </w:t>
      </w:r>
      <w:r>
        <w:t xml:space="preserve">Eval harness, red-team, Judgment Framework table, cost note and README are done. You present live.</w:t>
      </w:r>
    </w:p>
    <w:p>
      <w:pPr>
        <w:pStyle w:val="FirstParagraph"/>
      </w:pPr>
      <w:r>
        <w:rPr>
          <w:bCs/>
          <w:b/>
        </w:rPr>
        <w:t xml:space="preserve">Final submission:</w:t>
      </w:r>
    </w:p>
    <w:p>
      <w:pPr>
        <w:pStyle w:val="Compact"/>
        <w:spacing w:after="40"/>
        <w:ind w:left="340"/>
      </w:pPr>
      <w:r>
        <w:t xml:space="preserve">☐ GitHub repo link (code, README, .gitignore, input files, output files)</w:t>
      </w:r>
    </w:p>
    <w:p>
      <w:pPr>
        <w:pStyle w:val="Compact"/>
        <w:spacing w:after="40"/>
        <w:ind w:left="340"/>
      </w:pPr>
      <w:r>
        <w:t xml:space="preserve">☐ One-page specification</w:t>
      </w:r>
    </w:p>
    <w:p>
      <w:pPr>
        <w:pStyle w:val="Compact"/>
        <w:spacing w:after="40"/>
        <w:ind w:left="340"/>
      </w:pPr>
      <w:r>
        <w:t xml:space="preserve">☐ System prompt as a separate text file</w:t>
      </w:r>
    </w:p>
    <w:p>
      <w:pPr>
        <w:pStyle w:val="Compact"/>
        <w:spacing w:after="40"/>
        <w:ind w:left="340"/>
      </w:pPr>
      <w:r>
        <w:t xml:space="preserve">☐ Eval harness results</w:t>
      </w:r>
    </w:p>
    <w:p>
      <w:pPr>
        <w:pStyle w:val="Compact"/>
        <w:spacing w:after="40"/>
        <w:ind w:left="340"/>
      </w:pPr>
      <w:r>
        <w:t xml:space="preserve">☐ Red-team results (3 inputs)</w:t>
      </w:r>
    </w:p>
    <w:p>
      <w:pPr>
        <w:pStyle w:val="Compact"/>
        <w:spacing w:after="40"/>
        <w:ind w:left="340"/>
      </w:pPr>
      <w:r>
        <w:t xml:space="preserve">☐ Judgment Framework table</w:t>
      </w:r>
    </w:p>
    <w:p>
      <w:pPr>
        <w:pStyle w:val="Compact"/>
        <w:spacing w:after="40"/>
        <w:ind w:left="340"/>
      </w:pPr>
      <w:r>
        <w:t xml:space="preserve">☐ Cost and latency note</w:t>
      </w:r>
    </w:p>
    <w:p>
      <w:pPr>
        <w:pStyle w:val="Compact"/>
        <w:spacing w:after="40"/>
        <w:ind w:left="340"/>
      </w:pPr>
      <w:r>
        <w:t xml:space="preserve">☐ AI Decision Journal</w:t>
      </w:r>
    </w:p>
    <w:p>
      <w:pPr>
        <w:pStyle w:val="Compact"/>
        <w:spacing w:after="40"/>
        <w:ind w:left="340"/>
      </w:pPr>
      <w:r>
        <w:t xml:space="preserve">☐ 400-word reflection</w:t>
      </w:r>
    </w:p>
    <w:bookmarkEnd w:id="27"/>
    <w:bookmarkStart w:id="30" w:name="how-it-will-be-assessed"/>
    <w:p>
      <w:pPr>
        <w:pStyle w:val="Heading2"/>
      </w:pPr>
      <w:r>
        <w:t xml:space="preserve">How it will be assessed</w:t>
      </w:r>
    </w:p>
    <w:p>
      <w:pPr>
        <w:pStyle w:val="FirstParagraph"/>
      </w:pPr>
      <w:r>
        <w:t xml:space="preserve">The project is marked out of 100 and counts for 40% of the semester.</w:t>
      </w:r>
    </w:p>
    <w:tbl>
      <w:tblPr>
        <w:tblStyle w:val="Table"/>
        <w:tblLook w:firstRow="1" w:lastRow="0" w:firstColumn="0" w:lastColumn="0" w:noHBand="0" w:noVBand="0" w:val="0020"/>
        <w:jc w:val="start"/>
        <w:tblLayout w:type="fixed"/>
        <w:tblBorders>
          <w:top w:val="single" w:sz="4" w:color="B8C2CC"/>
          <w:left w:val="single" w:sz="4" w:color="B8C2CC"/>
          <w:bottom w:val="single" w:sz="4" w:color="B8C2CC"/>
          <w:right w:val="single" w:sz="4" w:color="B8C2CC"/>
          <w:insideH w:val="single" w:sz="4" w:color="B8C2CC"/>
          <w:insideV w:val="single" w:sz="4" w:color="B8C2CC"/>
        </w:tblBorders>
        <w:tblW w:w="9638" w:type="dxa"/>
      </w:tblPr>
      <w:tblGrid>
        <w:gridCol w:w="7615"/>
        <w:gridCol w:w="2022"/>
      </w:tblGrid>
      <w:tr>
        <w:trPr>
          <w:tblHeader w:val="true"/>
        </w:trPr>
        <w:tc>
          <w:tcPr>
            <w:tcW w:w="7615" w:type="dxa"/>
            <w:shd w:val="clear" w:fill="1F3A5F"/>
            <w:tcMar>
              <w:top w:w="60" w:type="dxa"/>
              <w:bottom w:w="60" w:type="dxa"/>
              <w:left w:w="90" w:type="dxa"/>
              <w:right w:w="90" w:type="dxa"/>
            </w:tcMar>
          </w:tcPr>
          <w:p>
            <w:pPr>
              <w:pStyle w:val="Compact"/>
              <w:spacing w:after="0" w:before="0"/>
              <w:jc w:val="left"/>
            </w:pPr>
            <w:r>
              <w:rPr>
                <w:b/>
                <w:color w:val="FFFFFF"/>
                <w:sz w:val="19"/>
              </w:rPr>
              <w:t xml:space="preserve">Area</w:t>
            </w:r>
          </w:p>
        </w:tc>
        <w:tc>
          <w:tcPr>
            <w:tcW w:w="2022" w:type="dxa"/>
            <w:shd w:val="clear" w:fill="1F3A5F"/>
            <w:tcMar>
              <w:top w:w="60" w:type="dxa"/>
              <w:bottom w:w="60" w:type="dxa"/>
              <w:left w:w="90" w:type="dxa"/>
              <w:right w:w="90" w:type="dxa"/>
            </w:tcMar>
          </w:tcPr>
          <w:p>
            <w:pPr>
              <w:pStyle w:val="Compact"/>
              <w:spacing w:after="0" w:before="0"/>
              <w:jc w:val="left"/>
            </w:pPr>
            <w:r>
              <w:rPr>
                <w:b/>
                <w:color w:val="FFFFFF"/>
                <w:sz w:val="19"/>
              </w:rPr>
              <w:t xml:space="preserve">Marks</w:t>
            </w:r>
          </w:p>
        </w:tc>
      </w:tr>
      <w:tr>
        <w:tc>
          <w:tcPr>
            <w:tcW w:w="7615" w:type="dxa"/>
            <w:tcMar>
              <w:top w:w="60" w:type="dxa"/>
              <w:bottom w:w="60" w:type="dxa"/>
              <w:left w:w="90" w:type="dxa"/>
              <w:right w:w="90" w:type="dxa"/>
            </w:tcMar>
          </w:tcPr>
          <w:p>
            <w:pPr>
              <w:pStyle w:val="Compact"/>
              <w:spacing w:after="0" w:before="0"/>
              <w:jc w:val="left"/>
            </w:pPr>
            <w:r>
              <w:rPr>
                <w:sz w:val="19"/>
              </w:rPr>
              <w:t xml:space="preserve">Specification and problem understanding</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Working program (runs end to end on your input files)</w:t>
            </w:r>
          </w:p>
        </w:tc>
        <w:tc>
          <w:tcPr>
            <w:tcW w:w="2022" w:type="dxa"/>
            <w:tcMar>
              <w:top w:w="60" w:type="dxa"/>
              <w:bottom w:w="60" w:type="dxa"/>
              <w:left w:w="90" w:type="dxa"/>
              <w:right w:w="90" w:type="dxa"/>
            </w:tcMar>
          </w:tcPr>
          <w:p>
            <w:pPr>
              <w:pStyle w:val="Compact"/>
              <w:spacing w:after="0" w:before="0"/>
              <w:jc w:val="left"/>
            </w:pPr>
            <w:r>
              <w:rPr>
                <w:sz w:val="19"/>
              </w:rPr>
              <w:t xml:space="preserve">25</w:t>
            </w:r>
          </w:p>
        </w:tc>
      </w:tr>
      <w:tr>
        <w:tc>
          <w:tcPr>
            <w:tcW w:w="7615" w:type="dxa"/>
            <w:tcMar>
              <w:top w:w="60" w:type="dxa"/>
              <w:bottom w:w="60" w:type="dxa"/>
              <w:left w:w="90" w:type="dxa"/>
              <w:right w:w="90" w:type="dxa"/>
            </w:tcMar>
          </w:tcPr>
          <w:p>
            <w:pPr>
              <w:pStyle w:val="Compact"/>
              <w:spacing w:after="0" w:before="0"/>
              <w:jc w:val="left"/>
            </w:pPr>
            <w:r>
              <w:rPr>
                <w:sz w:val="19"/>
              </w:rPr>
              <w:t xml:space="preserve">System prompt, validator, fallback, fact check and matching rules</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Eval harness and red-team</w:t>
            </w:r>
          </w:p>
        </w:tc>
        <w:tc>
          <w:tcPr>
            <w:tcW w:w="2022" w:type="dxa"/>
            <w:tcMar>
              <w:top w:w="60" w:type="dxa"/>
              <w:bottom w:w="60" w:type="dxa"/>
              <w:left w:w="90" w:type="dxa"/>
              <w:right w:w="90" w:type="dxa"/>
            </w:tcMar>
          </w:tcPr>
          <w:p>
            <w:pPr>
              <w:pStyle w:val="Compact"/>
              <w:spacing w:after="0" w:before="0"/>
              <w:jc w:val="left"/>
            </w:pPr>
            <w:r>
              <w:rPr>
                <w:sz w:val="19"/>
              </w:rPr>
              <w:t xml:space="preserve">15</w:t>
            </w:r>
          </w:p>
        </w:tc>
      </w:tr>
      <w:tr>
        <w:tc>
          <w:tcPr>
            <w:tcW w:w="7615" w:type="dxa"/>
            <w:tcMar>
              <w:top w:w="60" w:type="dxa"/>
              <w:bottom w:w="60" w:type="dxa"/>
              <w:left w:w="90" w:type="dxa"/>
              <w:right w:w="90" w:type="dxa"/>
            </w:tcMar>
          </w:tcPr>
          <w:p>
            <w:pPr>
              <w:pStyle w:val="Compact"/>
              <w:spacing w:after="0" w:before="0"/>
              <w:jc w:val="left"/>
            </w:pPr>
            <w:r>
              <w:rPr>
                <w:sz w:val="19"/>
              </w:rPr>
              <w:t xml:space="preserve">Judgment Framework and human checkpoint</w:t>
            </w:r>
          </w:p>
        </w:tc>
        <w:tc>
          <w:tcPr>
            <w:tcW w:w="2022" w:type="dxa"/>
            <w:tcMar>
              <w:top w:w="60" w:type="dxa"/>
              <w:bottom w:w="60" w:type="dxa"/>
              <w:left w:w="90" w:type="dxa"/>
              <w:right w:w="90" w:type="dxa"/>
            </w:tcMar>
          </w:tcPr>
          <w:p>
            <w:pPr>
              <w:pStyle w:val="Compact"/>
              <w:spacing w:after="0" w:before="0"/>
              <w:jc w:val="left"/>
            </w:pPr>
            <w:r>
              <w:rPr>
                <w:sz w:val="19"/>
              </w:rPr>
              <w:t xml:space="preserve">10</w:t>
            </w:r>
          </w:p>
        </w:tc>
      </w:tr>
      <w:tr>
        <w:tc>
          <w:tcPr>
            <w:tcW w:w="7615" w:type="dxa"/>
            <w:tcMar>
              <w:top w:w="60" w:type="dxa"/>
              <w:bottom w:w="60" w:type="dxa"/>
              <w:left w:w="90" w:type="dxa"/>
              <w:right w:w="90" w:type="dxa"/>
            </w:tcMar>
          </w:tcPr>
          <w:p>
            <w:pPr>
              <w:pStyle w:val="Compact"/>
              <w:spacing w:after="0" w:before="0"/>
              <w:jc w:val="left"/>
            </w:pPr>
            <w:r>
              <w:rPr>
                <w:sz w:val="19"/>
              </w:rPr>
              <w:t xml:space="preserve">Live presentation and Q&amp;A</w:t>
            </w:r>
          </w:p>
        </w:tc>
        <w:tc>
          <w:tcPr>
            <w:tcW w:w="2022" w:type="dxa"/>
            <w:tcMar>
              <w:top w:w="60" w:type="dxa"/>
              <w:bottom w:w="60" w:type="dxa"/>
              <w:left w:w="90" w:type="dxa"/>
              <w:right w:w="90" w:type="dxa"/>
            </w:tcMar>
          </w:tcPr>
          <w:p>
            <w:pPr>
              <w:pStyle w:val="Compact"/>
              <w:spacing w:after="0" w:before="0"/>
              <w:jc w:val="left"/>
            </w:pPr>
            <w:r>
              <w:rPr>
                <w:sz w:val="19"/>
              </w:rPr>
              <w:t xml:space="preserve">20</w:t>
            </w:r>
          </w:p>
        </w:tc>
      </w:tr>
      <w:tr>
        <w:tc>
          <w:tcPr>
            <w:tcW w:w="7615" w:type="dxa"/>
            <w:tcMar>
              <w:top w:w="60" w:type="dxa"/>
              <w:bottom w:w="60" w:type="dxa"/>
              <w:left w:w="90" w:type="dxa"/>
              <w:right w:w="90" w:type="dxa"/>
            </w:tcMar>
          </w:tcPr>
          <w:p>
            <w:pPr>
              <w:pStyle w:val="Compact"/>
              <w:spacing w:after="0" w:before="0"/>
              <w:jc w:val="left"/>
            </w:pPr>
            <w:r>
              <w:rPr>
                <w:bCs/>
                <w:b/>
                <w:sz w:val="19"/>
              </w:rPr>
              <w:t xml:space="preserve">Total</w:t>
            </w:r>
          </w:p>
        </w:tc>
        <w:tc>
          <w:tcPr>
            <w:tcW w:w="2022" w:type="dxa"/>
            <w:tcMar>
              <w:top w:w="60" w:type="dxa"/>
              <w:bottom w:w="60" w:type="dxa"/>
              <w:left w:w="90" w:type="dxa"/>
              <w:right w:w="90" w:type="dxa"/>
            </w:tcMar>
          </w:tcPr>
          <w:p>
            <w:pPr>
              <w:pStyle w:val="Compact"/>
              <w:spacing w:after="0" w:before="0"/>
              <w:jc w:val="left"/>
            </w:pPr>
            <w:r>
              <w:rPr>
                <w:bCs/>
                <w:b/>
                <w:sz w:val="19"/>
              </w:rPr>
              <w:t xml:space="preserve">100</w:t>
            </w:r>
          </w:p>
        </w:tc>
      </w:tr>
    </w:tbl>
    <w:p>
      <w:pPr>
        <w:pStyle w:val="BodyText"/>
      </w:pPr>
      <w:r>
        <w:rPr>
          <w:bCs/>
          <w:b/>
        </w:rPr>
        <w:t xml:space="preserve">Presentation (10 minutes + 5 minutes Q&amp;A):</w:t>
      </w:r>
      <w:r>
        <w:t xml:space="preserve"> </w:t>
      </w:r>
      <w:r>
        <w:t xml:space="preserve">Problem, Spec, Live demo, Eval results, Judgment Framework, Cost note, 3 learnings.</w:t>
      </w:r>
    </w:p>
    <w:bookmarkStart w:id="28" w:name="using-ai-on-this-project"/>
    <w:p>
      <w:pPr>
        <w:pStyle w:val="Heading3"/>
      </w:pPr>
      <w:r>
        <w:t xml:space="preserve">Using AI on this project</w:t>
      </w:r>
    </w:p>
    <w:p>
      <w:pPr>
        <w:pStyle w:val="FirstParagraph"/>
      </w:pPr>
      <w:r>
        <w:t xml:space="preserve">You may use AI to help write and fix your code. Remember the golden rule from Week 11: never submit code you cannot explain line by line. In the Q&amp;A, faculty will point at any line and ask what it does. If you cannot explain it, that part gets no marks.</w:t>
      </w:r>
    </w:p>
    <w:bookmarkEnd w:id="28"/>
    <w:bookmarkStart w:id="29" w:name="common-mistakes"/>
    <w:p>
      <w:pPr>
        <w:pStyle w:val="Heading3"/>
      </w:pPr>
      <w:r>
        <w:t xml:space="preserve">Common mistakes</w:t>
      </w:r>
    </w:p>
    <w:p>
      <w:pPr>
        <w:numPr>
          <w:ilvl w:val="0"/>
          <w:numId w:val="1005"/>
        </w:numPr>
        <w:pStyle w:val="Compact"/>
      </w:pPr>
      <w:r>
        <w:t xml:space="preserve">Pushing the API key to GitHub. Check your .gitignore before the first commit.</w:t>
      </w:r>
    </w:p>
    <w:p>
      <w:pPr>
        <w:numPr>
          <w:ilvl w:val="0"/>
          <w:numId w:val="1005"/>
        </w:numPr>
        <w:pStyle w:val="Compact"/>
      </w:pPr>
      <w:r>
        <w:t xml:space="preserve">Using the LLM’s reply without checking it. One bad reply should never crash the program.</w:t>
      </w:r>
    </w:p>
    <w:p>
      <w:pPr>
        <w:numPr>
          <w:ilvl w:val="0"/>
          <w:numId w:val="1005"/>
        </w:numPr>
        <w:pStyle w:val="Compact"/>
      </w:pPr>
      <w:r>
        <w:t xml:space="preserve">Asking the LLM to compare every pair. Read each report once and compare in Python.</w:t>
      </w:r>
    </w:p>
    <w:p>
      <w:pPr>
        <w:numPr>
          <w:ilvl w:val="0"/>
          <w:numId w:val="1005"/>
        </w:numPr>
        <w:pStyle w:val="Compact"/>
      </w:pPr>
      <w:r>
        <w:t xml:space="preserve">Keeping a brand or colour the report never wrote.</w:t>
      </w:r>
    </w:p>
    <w:p>
      <w:pPr>
        <w:numPr>
          <w:ilvl w:val="0"/>
          <w:numId w:val="1005"/>
        </w:numPr>
        <w:pStyle w:val="Compact"/>
      </w:pPr>
      <w:r>
        <w:t xml:space="preserve">Only adding points. A colour or brand clash must rule a pair out.</w:t>
      </w:r>
    </w:p>
    <w:p>
      <w:pPr>
        <w:numPr>
          <w:ilvl w:val="0"/>
          <w:numId w:val="1005"/>
        </w:numPr>
        <w:pStyle w:val="Compact"/>
      </w:pPr>
      <w:r>
        <w:t xml:space="preserve">Treating a likely match as proof of ownership.</w:t>
      </w:r>
    </w:p>
    <w:p>
      <w:pPr>
        <w:numPr>
          <w:ilvl w:val="0"/>
          <w:numId w:val="1005"/>
        </w:numPr>
        <w:pStyle w:val="Compact"/>
      </w:pPr>
      <w:r>
        <w:t xml:space="preserve">Showing only the top suggestion. The help desk should see every candidate.</w:t>
      </w:r>
    </w:p>
    <w:bookmarkEnd w:id="29"/>
    <w:bookmarkEnd w:id="30"/>
    <w:sect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eastAsia="Calibri" w:hAnsi="Calibri"/>
      <w:sz w:val="21"/>
    </w:rPr>
  </w:style>
  <w:style w:styleId="BodyText" w:type="paragraph">
    <w:name w:val="Body Text"/>
    <w:basedOn w:val="Normal"/>
    <w:link w:val="BodyTextChar"/>
    <w:pPr>
      <w:spacing w:after="120" w:before="180"/>
    </w:pPr>
    <w:qFormat/>
    <w:rPr>
      <w:rFonts w:ascii="Calibri" w:eastAsia="Calibri" w:hAnsi="Calibri"/>
      <w:sz w:val="21"/>
    </w:rPr>
  </w:style>
  <w:style w:customStyle="1" w:styleId="FirstParagraph" w:type="paragraph">
    <w:name w:val="First Paragraph"/>
    <w:basedOn w:val="BodyText"/>
    <w:next w:val="BodyText"/>
    <w:qFormat/>
    <w:pPr>
      <w:spacing w:after="120"/>
    </w:pPr>
    <w:rPr>
      <w:rFonts w:ascii="Calibri" w:eastAsia="Calibri" w:hAnsi="Calibri"/>
      <w:sz w:val="21"/>
    </w:rPr>
  </w:style>
  <w:style w:customStyle="1" w:styleId="Compact" w:type="paragraph">
    <w:name w:val="Compact"/>
    <w:basedOn w:val="BodyText"/>
    <w:qFormat/>
    <w:pPr>
      <w:spacing w:after="120" w:before="36"/>
    </w:pPr>
    <w:rPr>
      <w:rFonts w:ascii="Calibri" w:eastAsia="Calibri" w:hAnsi="Calibri"/>
      <w:sz w:val="21"/>
    </w:rPr>
  </w:style>
  <w:style w:styleId="Title" w:type="paragraph">
    <w:name w:val="Title"/>
    <w:basedOn w:val="Normal"/>
    <w:next w:val="BodyText"/>
    <w:qFormat/>
    <w:pPr>
      <w:keepNext/>
      <w:keepLines/>
      <w:spacing w:after="240" w:before="200"/>
      <w:jc w:val="center"/>
    </w:pPr>
    <w:rPr>
      <w:rFonts w:ascii="Calibri" w:hAnsi="Calibri"/>
      <w:b/>
      <w:bCs/>
      <w:i w:val="0"/>
      <w:color w:val="1F3A5F"/>
      <w:sz w:val="44"/>
      <w:szCs w:val="36"/>
    </w:rPr>
  </w:style>
  <w:style w:styleId="Subtitle" w:type="paragraph">
    <w:name w:val="Subtitle"/>
    <w:basedOn w:val="Title"/>
    <w:next w:val="BodyText"/>
    <w:qFormat/>
    <w:pPr>
      <w:keepNext/>
      <w:keepLines/>
      <w:spacing w:after="240" w:before="200"/>
      <w:jc w:val="center"/>
    </w:pPr>
    <w:rPr>
      <w:rFonts w:ascii="Calibri" w:hAnsi="Calibri"/>
      <w:b w:val="0"/>
      <w:i w:val="0"/>
      <w:color w:val="C25B1E"/>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200"/>
      <w:outlineLvl w:val="0"/>
    </w:pPr>
    <w:rPr>
      <w:rFonts w:ascii="Calibri" w:hAnsi="Calibri"/>
      <w:b/>
      <w:bCs/>
      <w:i w:val="0"/>
      <w:color w:val="1F3A5F"/>
      <w:sz w:val="32"/>
      <w:szCs w:val="32"/>
    </w:rPr>
  </w:style>
  <w:style w:styleId="Heading2" w:type="paragraph">
    <w:name w:val="Heading 2"/>
    <w:basedOn w:val="Normal"/>
    <w:next w:val="BodyText"/>
    <w:uiPriority w:val="9"/>
    <w:unhideWhenUsed/>
    <w:qFormat/>
    <w:pPr>
      <w:keepNext/>
      <w:keepLines/>
      <w:spacing w:after="0" w:before="280"/>
      <w:outlineLvl w:val="1"/>
    </w:pPr>
    <w:rPr>
      <w:rFonts w:ascii="Calibri" w:hAnsi="Calibri"/>
      <w:b/>
      <w:bCs/>
      <w:i w:val="0"/>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b/>
      <w:bCs/>
      <w:i w:val="0"/>
      <w:color w:val="1F3A5F"/>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A3B0E"/>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pPr>
      <w:shd w:val="clear" w:color="auto" w:fill="F2F4F7"/>
      <w:pBdr>
        <w:left w:val="single" w:sz="18" w:space="6" w:color="C25B1E"/>
      </w:pBdr>
      <w:spacing w:after="160" w:line="240" w:lineRule="auto"/>
      <w:ind w:left="170"/>
    </w:pPr>
    <w:rPr>
      <w:rFonts w:ascii="Consolas" w:hAnsi="Consolas"/>
      <w:sz w:val="17"/>
      <w:rFonts w:ascii="Consolas" w:hAnsi="Consolas" w:cs="Consola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 Lost and Found Matcher</dc:title>
  <dc:creator/>
  <cp:keywords/>
  <dcterms:created xsi:type="dcterms:W3CDTF">2026-10-08T10:51:59Z</dcterms:created>
  <dcterms:modified xsi:type="dcterms:W3CDTF">2026-10-08T10:51:59Z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CIT AI-Native Engineering Programme · Semester 1 · Assessment 5</vt:lpwstr>
  </property>
</Properties>
</file>