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037D0">
      <w:pPr>
        <w:pStyle w:val="2"/>
        <w:spacing w:after="50"/>
      </w:pPr>
      <w:r>
        <w:rPr>
          <w:b/>
          <w:bCs/>
          <w:color w:val="0F172A"/>
          <w:sz w:val="36"/>
          <w:szCs w:val="36"/>
        </w:rPr>
        <w:t xml:space="preserve">NLU Assignment 1 </w:t>
      </w:r>
      <w:r>
        <w:rPr>
          <w:rFonts w:hint="default"/>
          <w:b/>
          <w:bCs/>
          <w:color w:val="0F172A"/>
          <w:sz w:val="36"/>
          <w:szCs w:val="36"/>
          <w:lang w:val="en-US"/>
        </w:rPr>
        <w:t xml:space="preserve">- </w:t>
      </w:r>
      <w:bookmarkStart w:id="0" w:name="_GoBack"/>
      <w:bookmarkEnd w:id="0"/>
      <w:r>
        <w:rPr>
          <w:b/>
          <w:bCs/>
          <w:color w:val="0F172A"/>
          <w:sz w:val="36"/>
          <w:szCs w:val="36"/>
        </w:rPr>
        <w:t>Corpus Analysis, Language Models &amp; POS Tagging</w:t>
      </w:r>
    </w:p>
    <w:p w14:paraId="5C583AC3">
      <w:pPr>
        <w:spacing w:after="24"/>
      </w:pPr>
      <w:r>
        <w:rPr>
          <w:color w:val="475569"/>
          <w:sz w:val="19"/>
          <w:szCs w:val="19"/>
        </w:rPr>
        <w:t>Zipf's Law · N-gram Language Models · HMM POS Tagger with Viterbi</w:t>
      </w:r>
    </w:p>
    <w:p w14:paraId="2FDCBBF8">
      <w:pPr>
        <w:spacing w:after="150"/>
      </w:pPr>
      <w:r>
        <w:rPr>
          <w:color w:val="64748B"/>
          <w:sz w:val="15"/>
          <w:szCs w:val="15"/>
        </w:rPr>
        <w:t>Corpus: Brown (NLTK), ~1.16M tokens · 80/20 train-test · Seed 1007 (reproducible)</w:t>
      </w:r>
    </w:p>
    <w:p w14:paraId="01396CC5">
      <w:pPr>
        <w:spacing w:after="110" w:line="264" w:lineRule="auto"/>
        <w:jc w:val="both"/>
      </w:pPr>
      <w:r>
        <w:rPr>
          <w:b/>
          <w:bCs/>
        </w:rPr>
        <w:t xml:space="preserve">Corpus statement. </w:t>
      </w:r>
      <w:r>
        <w:t xml:space="preserve">All three parts use the </w:t>
      </w:r>
      <w:r>
        <w:rPr>
          <w:b/>
          <w:bCs/>
        </w:rPr>
        <w:t>Brown corpus</w:t>
      </w:r>
      <w:r>
        <w:t xml:space="preserve"> from NLTK (≈1.16M tokens). Part 3 requires Brown; Part 1 permits any English corpus ≥1M tokens, so using Brown throughout keeps the analysis consistent and reuses one loading path. Part 1 tokenizes to lower-cased alphabetic word types; Parts 2–3 use NLTK's sentence segmentation and (for Part 3) the Universal tagset.</w:t>
      </w:r>
    </w:p>
    <w:p w14:paraId="78503817">
      <w:pPr>
        <w:pStyle w:val="3"/>
        <w:pBdr>
          <w:bottom w:val="single" w:color="2563EB" w:sz="12" w:space="3"/>
        </w:pBdr>
        <w:spacing w:before="220" w:after="80"/>
      </w:pPr>
      <w:r>
        <w:rPr>
          <w:b/>
          <w:bCs/>
          <w:color w:val="0F172A"/>
          <w:sz w:val="23"/>
          <w:szCs w:val="23"/>
        </w:rPr>
        <w:t>Part 1 — Zipf's Law and Corpus Analysis</w:t>
      </w:r>
    </w:p>
    <w:p w14:paraId="5E2712D7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Q1. </w:t>
      </w:r>
      <w:r>
        <w:rPr>
          <w:b/>
          <w:bCs/>
          <w:color w:val="1E293B"/>
          <w:sz w:val="20"/>
          <w:szCs w:val="20"/>
        </w:rPr>
        <w:t>Top-10 word types by frequency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300"/>
        <w:gridCol w:w="2300"/>
        <w:gridCol w:w="2860"/>
      </w:tblGrid>
      <w:tr w14:paraId="46098803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5F6769">
            <w:pPr>
              <w:spacing w:after="0" w:line="232" w:lineRule="auto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Rank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EFF3415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Word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2099FD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Frequency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8CC51B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Class</w:t>
            </w:r>
          </w:p>
        </w:tc>
      </w:tr>
      <w:tr w14:paraId="1293BC4A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65E9FAC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F3688EE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the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EA8901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69,971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5A28B2C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determiner</w:t>
            </w:r>
          </w:p>
        </w:tc>
      </w:tr>
      <w:tr w14:paraId="2B4040E6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0FF3EE3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0993578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of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64CDEC9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36,412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1EB8CBD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preposition</w:t>
            </w:r>
          </w:p>
        </w:tc>
      </w:tr>
      <w:tr w14:paraId="5BF27F02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D22CD7D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48934E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and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E66D736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28,853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1A37F12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conjunction</w:t>
            </w:r>
          </w:p>
        </w:tc>
      </w:tr>
      <w:tr w14:paraId="1698F423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D32DA9A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B2F774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to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B95F461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26,158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DD9E419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preposition/inf.</w:t>
            </w:r>
          </w:p>
        </w:tc>
      </w:tr>
      <w:tr w14:paraId="2164AB54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EA097C2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384AA8F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430CB31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23,195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951FD4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determiner</w:t>
            </w:r>
          </w:p>
        </w:tc>
      </w:tr>
      <w:tr w14:paraId="3FA6BCED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874D9E0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200D3E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in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ED6587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21,337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1872EB4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preposition</w:t>
            </w:r>
          </w:p>
        </w:tc>
      </w:tr>
      <w:tr w14:paraId="41F99F46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D44ADBF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7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37A3A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that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047F11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10,594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D174527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complementizer</w:t>
            </w:r>
          </w:p>
        </w:tc>
      </w:tr>
      <w:tr w14:paraId="291F318C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ED0B4F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8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843B920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is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48695F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10,109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62DAA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verb (copula)</w:t>
            </w:r>
          </w:p>
        </w:tc>
      </w:tr>
      <w:tr w14:paraId="3DFDD454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45A7921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9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FDD0C3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was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F90FB2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9,815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7FCA00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verb (copula)</w:t>
            </w:r>
          </w:p>
        </w:tc>
      </w:tr>
      <w:tr w14:paraId="3E5A4275"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4E3EDCD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10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9067F8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he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CB8057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9,548</w:t>
            </w:r>
          </w:p>
        </w:tc>
        <w:tc>
          <w:tcPr>
            <w:tcW w:w="28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86D7E39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pronoun</w:t>
            </w:r>
          </w:p>
        </w:tc>
      </w:tr>
    </w:tbl>
    <w:p w14:paraId="3F7A6273">
      <w:pPr>
        <w:spacing w:after="60"/>
      </w:pPr>
    </w:p>
    <w:p w14:paraId="1E3861FA">
      <w:pPr>
        <w:spacing w:after="110" w:line="264" w:lineRule="auto"/>
        <w:jc w:val="both"/>
      </w:pPr>
      <w:r>
        <w:t xml:space="preserve">Corpus totals: </w:t>
      </w:r>
      <w:r>
        <w:rPr>
          <w:b/>
          <w:bCs/>
        </w:rPr>
        <w:t>N = 1,005,119 tokens</w:t>
      </w:r>
      <w:r>
        <w:t xml:space="preserve">  and  </w:t>
      </w:r>
      <w:r>
        <w:rPr>
          <w:b/>
          <w:bCs/>
        </w:rPr>
        <w:t>|V| = 48,052 types</w:t>
      </w:r>
      <w:r>
        <w:t xml:space="preserve"> (alphabetic, lower-cased). Every one of the top-10 is a closed-class function word.</w:t>
      </w:r>
    </w:p>
    <w:p w14:paraId="37B6C0D5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Q2. </w:t>
      </w:r>
      <w:r>
        <w:rPr>
          <w:b/>
          <w:bCs/>
          <w:color w:val="1E293B"/>
          <w:sz w:val="20"/>
          <w:szCs w:val="20"/>
        </w:rPr>
        <w:t>Zipf log-log fit</w:t>
      </w:r>
    </w:p>
    <w:p w14:paraId="4867D80A">
      <w:pPr>
        <w:spacing w:after="110" w:line="264" w:lineRule="auto"/>
        <w:jc w:val="both"/>
      </w:pPr>
      <w:r>
        <w:t xml:space="preserve">Fitting a least-squares line to log₁₀(rank) vs log₁₀(frequency) over all types gives </w:t>
      </w:r>
      <w:r>
        <w:rPr>
          <w:b/>
          <w:bCs/>
        </w:rPr>
        <w:t>slope = −1.315</w:t>
      </w:r>
      <w:r>
        <w:t xml:space="preserve"> and </w:t>
      </w:r>
      <w:r>
        <w:rPr>
          <w:b/>
          <w:bCs/>
        </w:rPr>
        <w:t>intercept = 6.053</w:t>
      </w:r>
      <w:r>
        <w:t xml:space="preserve">. Zipf's law predicts a slope near −1; our fit is steeper, so the corpus </w:t>
      </w:r>
      <w:r>
        <w:rPr>
          <w:b/>
          <w:bCs/>
        </w:rPr>
        <w:t>deviates</w:t>
      </w:r>
      <w:r>
        <w:t xml:space="preserve"> from the ideal. The deviation comes from the tails: the very top ranks are slightly flatter and the long tail of hapax words (≈20k words occurring once) is steeper than a pure −1 line, pulling the global fit below −1. A Zipf–Mandelbrot fit or fitting only the mid-range ranks would land closer to −1.</w:t>
      </w:r>
    </w:p>
    <w:p w14:paraId="7E9946BD">
      <w:pPr>
        <w:spacing w:before="50" w:after="30"/>
        <w:jc w:val="center"/>
      </w:pPr>
      <w:r>
        <w:drawing>
          <wp:inline distT="0" distB="0" distL="0" distR="0">
            <wp:extent cx="342900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C69C">
      <w:pPr>
        <w:spacing w:after="110"/>
        <w:jc w:val="center"/>
      </w:pPr>
      <w:r>
        <w:rPr>
          <w:i/>
          <w:iCs/>
          <w:color w:val="64748B"/>
          <w:sz w:val="14"/>
          <w:szCs w:val="14"/>
        </w:rPr>
        <w:t>Figure 1 — Log-log rank/frequency for Brown. Blue: word types; red: fitted line (slope −1.315); green dashed: the ideal Zipf slope −1.</w:t>
      </w:r>
    </w:p>
    <w:p w14:paraId="7FA9E1A9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Q3. </w:t>
      </w:r>
      <w:r>
        <w:rPr>
          <w:b/>
          <w:bCs/>
          <w:color w:val="1E293B"/>
          <w:sz w:val="20"/>
          <w:szCs w:val="20"/>
        </w:rPr>
        <w:t>Top-20 vs bottom-20 and the type/token distinction</w:t>
      </w:r>
    </w:p>
    <w:p w14:paraId="41D6409E">
      <w:pPr>
        <w:spacing w:after="110" w:line="264" w:lineRule="auto"/>
        <w:jc w:val="both"/>
      </w:pPr>
      <w:r>
        <w:rPr>
          <w:b/>
          <w:bCs/>
        </w:rPr>
        <w:t xml:space="preserve">Top-20: </w:t>
      </w:r>
      <w:r>
        <w:rPr>
          <w:i/>
          <w:iCs/>
        </w:rPr>
        <w:t>the, of, and, to, a, in, that, is, was, he, for, it, with, as, his, on, be, at, by, i.</w:t>
      </w:r>
    </w:p>
    <w:p w14:paraId="15DAAEBD">
      <w:pPr>
        <w:spacing w:after="110" w:line="264" w:lineRule="auto"/>
        <w:jc w:val="both"/>
      </w:pPr>
      <w:r>
        <w:rPr>
          <w:b/>
          <w:bCs/>
        </w:rPr>
        <w:t xml:space="preserve">Bottom-20 (freq 1): </w:t>
      </w:r>
      <w:r>
        <w:rPr>
          <w:i/>
          <w:iCs/>
        </w:rPr>
        <w:t>hubris, plumbed, bathos, besmirched, extremis, pityingly, horoscope, sidle, bodhisattva, hors, yaws, fluke, bilharziasis, perelman, exhaling, aviary, olive-flushed, coral-colored, boucle, stupefying.</w:t>
      </w:r>
    </w:p>
    <w:p w14:paraId="6827B34E">
      <w:pPr>
        <w:spacing w:after="110" w:line="264" w:lineRule="auto"/>
        <w:jc w:val="both"/>
      </w:pPr>
      <w:r>
        <w:t>The top is entirely closed-class (determiners, prepositions, conjunctions, pronouns, copulas): a tiny fixed set of TYPES that generates a huge share of TOKENS. The bottom is open-class content words (rare nouns, verbs, adjectives), almost all hapax legomena — many TYPES, each contributing very few TOKENS. This is the type/token distinction in action: frequency is dominated by a few function-word types, while the vocabulary is dominated by many rare content-word types.</w:t>
      </w:r>
    </w:p>
    <w:p w14:paraId="321E606B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Q4/Q5. </w:t>
      </w:r>
      <w:r>
        <w:rPr>
          <w:b/>
          <w:bCs/>
          <w:color w:val="1E293B"/>
          <w:sz w:val="20"/>
          <w:szCs w:val="20"/>
        </w:rPr>
        <w:t>TTR and MATTR vs corpus size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F9218D0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7C6574E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Tokens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E2478A9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Raw TTR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8923851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MATTR (w=1000)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07BFC59">
            <w:pPr>
              <w:spacing w:after="0" w:line="232" w:lineRule="auto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|V| grows sub-linearly?</w:t>
            </w:r>
          </w:p>
        </w:tc>
      </w:tr>
      <w:tr w14:paraId="02B43DA4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C50F0F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10,000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F69B80C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0.2576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14AB54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0.4590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D71972B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—</w:t>
            </w:r>
          </w:p>
        </w:tc>
      </w:tr>
      <w:tr w14:paraId="25890443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1DB8BB9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50,000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ACDEEE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0.1726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5E6058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0.4807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59403D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yes</w:t>
            </w:r>
          </w:p>
        </w:tc>
      </w:tr>
      <w:tr w14:paraId="6C7EE7BB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469B76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100,000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D318CF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0.1345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FCD072E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0.4826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FEFE8C0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yes</w:t>
            </w:r>
          </w:p>
        </w:tc>
      </w:tr>
      <w:tr w14:paraId="3C8AFC34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74AA613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500,000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5954E70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0.0683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024893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0.4655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394D429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yes</w:t>
            </w:r>
          </w:p>
        </w:tc>
      </w:tr>
      <w:tr w14:paraId="2F146C64"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10A7529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1,000,000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52D74BC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0.0477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DB253CC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0.4476</w:t>
            </w:r>
          </w:p>
        </w:tc>
        <w:tc>
          <w:tcPr>
            <w:tcW w:w="23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980564">
            <w:pPr>
              <w:spacing w:after="0" w:line="232" w:lineRule="auto"/>
              <w:jc w:val="center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yes</w:t>
            </w:r>
          </w:p>
        </w:tc>
      </w:tr>
    </w:tbl>
    <w:p w14:paraId="2F605BA6">
      <w:pPr>
        <w:spacing w:after="60"/>
      </w:pPr>
    </w:p>
    <w:p w14:paraId="3F37662F">
      <w:pPr>
        <w:spacing w:before="50" w:after="30"/>
        <w:jc w:val="center"/>
      </w:pPr>
      <w:r>
        <w:drawing>
          <wp:inline distT="0" distB="0" distL="0" distR="0">
            <wp:extent cx="3429000" cy="2352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6E92">
      <w:pPr>
        <w:spacing w:after="110"/>
        <w:jc w:val="center"/>
      </w:pPr>
      <w:r>
        <w:rPr>
          <w:i/>
          <w:iCs/>
          <w:color w:val="64748B"/>
          <w:sz w:val="14"/>
          <w:szCs w:val="14"/>
        </w:rPr>
        <w:t>Figure 2 — Raw TTR collapses as the corpus grows, while MATTR (fixed 1000-token window) stays roughly flat, giving a length-controlled diversity measure.</w:t>
      </w:r>
    </w:p>
    <w:p w14:paraId="11CD4924">
      <w:pPr>
        <w:spacing w:after="110" w:line="264" w:lineRule="auto"/>
        <w:jc w:val="both"/>
      </w:pPr>
      <w:r>
        <w:rPr>
          <w:b/>
          <w:bCs/>
        </w:rPr>
        <w:t xml:space="preserve">Why raw TTR falls: </w:t>
      </w:r>
      <w:r>
        <w:t xml:space="preserve">as tokens accumulate, vocabulary grows sub-linearly (Heaps' law) while token count grows linearly, so |V|/N shrinks — new tokens are increasingly repeats of already-seen types. Raw TTR is therefore length-dependent and unfair for comparing texts of different sizes. </w:t>
      </w:r>
      <w:r>
        <w:rPr>
          <w:b/>
          <w:bCs/>
        </w:rPr>
        <w:t>MATTR</w:t>
      </w:r>
      <w:r>
        <w:t xml:space="preserve"> averages TTR over a fixed 1000-token sliding window, decoupling it from total length: it stays near 0.45–0.48 across all sizes, so it can compare lexical diversity fairly regardless of corpus size.</w:t>
      </w:r>
    </w:p>
    <w:p w14:paraId="10B8779D">
      <w:pPr>
        <w:pStyle w:val="3"/>
        <w:pBdr>
          <w:bottom w:val="single" w:color="2563EB" w:sz="12" w:space="3"/>
        </w:pBdr>
        <w:spacing w:before="220" w:after="80"/>
      </w:pPr>
      <w:r>
        <w:rPr>
          <w:b/>
          <w:bCs/>
          <w:color w:val="0F172A"/>
          <w:sz w:val="23"/>
          <w:szCs w:val="23"/>
        </w:rPr>
        <w:t>Part 2 — N-gram Language Models</w:t>
      </w:r>
    </w:p>
    <w:p w14:paraId="39FED1B6">
      <w:pPr>
        <w:spacing w:after="110" w:line="264" w:lineRule="auto"/>
        <w:jc w:val="both"/>
      </w:pPr>
      <w:r>
        <w:rPr>
          <w:b/>
          <w:bCs/>
        </w:rPr>
        <w:t xml:space="preserve">Setup: </w:t>
      </w:r>
      <w:r>
        <w:t>sentences shuffled and split 80/20 (seed 1007); every sentence wrapped with &lt;s&gt; … &lt;/s&gt;; words seen &lt;2× in training mapped to &lt;unk&gt;. Vocabulary |V| = 24,738 (incl. &lt;s&gt;, &lt;/s&gt;, &lt;unk&gt;); training tokens ≈1.02M.</w:t>
      </w:r>
    </w:p>
    <w:p w14:paraId="2591CB04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Q6. </w:t>
      </w:r>
      <w:r>
        <w:rPr>
          <w:b/>
          <w:bCs/>
          <w:color w:val="1E293B"/>
          <w:sz w:val="20"/>
          <w:szCs w:val="20"/>
        </w:rPr>
        <w:t>MLE unigram &amp; bigram</w:t>
      </w:r>
    </w:p>
    <w:p w14:paraId="135DDD12">
      <w:pPr>
        <w:spacing w:after="110" w:line="264" w:lineRule="auto"/>
        <w:jc w:val="both"/>
      </w:pPr>
      <w:r>
        <w:t xml:space="preserve">Unigram P(w) = count(w)/N and bigram P(wᵢ|wᵢ₋₁) = count(wᵢ₋₁,wᵢ)/count(wᵢ₋₁) are estimated from training counts (implemented in </w:t>
      </w:r>
      <w:r>
        <w:rPr>
          <w:rFonts w:ascii="Consolas" w:hAnsi="Consolas" w:eastAsia="Consolas" w:cs="Consolas"/>
          <w:color w:val="0F172A"/>
          <w:sz w:val="18"/>
          <w:szCs w:val="18"/>
        </w:rPr>
        <w:t>part2_lm.py</w:t>
      </w:r>
      <w:r>
        <w:t>).</w:t>
      </w:r>
    </w:p>
    <w:p w14:paraId="1EE5B92A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Q7. </w:t>
      </w:r>
      <w:r>
        <w:rPr>
          <w:b/>
          <w:bCs/>
          <w:color w:val="1E293B"/>
          <w:sz w:val="20"/>
          <w:szCs w:val="20"/>
        </w:rPr>
        <w:t>Why raw MLE fails; what Laplace fixes</w:t>
      </w:r>
    </w:p>
    <w:p w14:paraId="40C46A33">
      <w:pPr>
        <w:spacing w:after="110" w:line="264" w:lineRule="auto"/>
        <w:jc w:val="both"/>
      </w:pPr>
      <w:r>
        <w:t>Raw MLE assigns probability 0 to any bigram unseen in training. Since the test set almost always contains unseen bigrams, a single zero makes the whole sentence probability 0 and perplexity infinite — MLE is unusable on held-out data. Add-1 (Laplace) smoothing adds 1 to every bigram count and |V| to each denominator, so no bigram is zero; it redistributes a little mass to unseen events, at the cost of over-discounting frequent ones.</w:t>
      </w:r>
    </w:p>
    <w:p w14:paraId="543D4A11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Q8. </w:t>
      </w:r>
      <w:r>
        <w:rPr>
          <w:b/>
          <w:bCs/>
          <w:color w:val="1E293B"/>
          <w:sz w:val="20"/>
          <w:szCs w:val="20"/>
        </w:rPr>
        <w:t>Perplexity — unigram vs bigram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BB4390D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63C425A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Model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29EDFC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Perplexity</w:t>
            </w:r>
          </w:p>
        </w:tc>
      </w:tr>
      <w:tr w14:paraId="405457FD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1267E90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Unigram (add-1)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7CF6269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726.47</w:t>
            </w:r>
          </w:p>
        </w:tc>
      </w:tr>
      <w:tr w14:paraId="2FCB1CF4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BEB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0BCA83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Bigram (Laplace, add-1)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BEB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373B7D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1,674.15</w:t>
            </w:r>
          </w:p>
        </w:tc>
      </w:tr>
      <w:tr w14:paraId="77705724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150284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Bigram (add-k, k=0.01)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792C5FB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471.68</w:t>
            </w:r>
          </w:p>
        </w:tc>
      </w:tr>
    </w:tbl>
    <w:p w14:paraId="642D5B90">
      <w:pPr>
        <w:spacing w:after="6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AB36AD">
        <w:tc>
          <w:tcPr>
            <w:tcW w:w="9360" w:type="dxa"/>
            <w:tcBorders>
              <w:top w:val="nil"/>
              <w:left w:val="single" w:color="D97706" w:sz="18" w:space="0"/>
              <w:bottom w:val="nil"/>
              <w:right w:val="nil"/>
            </w:tcBorders>
            <w:shd w:val="clear" w:color="auto" w:fill="FFFB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FECD6">
            <w:pPr>
              <w:spacing w:after="0" w:line="246" w:lineRule="auto"/>
              <w:jc w:val="both"/>
            </w:pPr>
            <w:r>
              <w:rPr>
                <w:b/>
                <w:bCs/>
                <w:sz w:val="17"/>
                <w:szCs w:val="17"/>
              </w:rPr>
              <w:t xml:space="preserve">Important observation (and the correct explanation). </w:t>
            </w:r>
            <w:r>
              <w:rPr>
                <w:sz w:val="17"/>
                <w:szCs w:val="17"/>
              </w:rPr>
              <w:t>In principle the bigram should beat the unigram because conditioning on the previous word captures local structure. Here the add-1 bigram (1,674) is actually WORSE than the unigram (726). This is a well-known artifact of Laplace smoothing on a large vocabulary (|V| ≈ 24.7k): the denominator count(w₁)+|V| is dominated by |V|, draining mass from seen bigrams and smearing it across ~|V| unseen ones per context — severe over-smoothing. Reducing to add-k (k=0.01) restores the expected ordering: the bigram falls to 472, well below the unigram. So the bigram's conditioning IS informative; crude add-1 smoothing, not the model order, caused the inversion.</w:t>
            </w:r>
          </w:p>
        </w:tc>
      </w:tr>
    </w:tbl>
    <w:p w14:paraId="3649B53D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Q9. </w:t>
      </w:r>
      <w:r>
        <w:rPr>
          <w:b/>
          <w:bCs/>
          <w:color w:val="1E293B"/>
          <w:sz w:val="20"/>
          <w:szCs w:val="20"/>
        </w:rPr>
        <w:t>Five sentences by ancestral sampling (bigram)</w:t>
      </w:r>
    </w:p>
    <w:p w14:paraId="1310DA43">
      <w:pPr>
        <w:spacing w:after="40" w:line="264" w:lineRule="auto"/>
        <w:jc w:val="both"/>
      </w:pPr>
      <w:r>
        <w:rPr>
          <w:b/>
          <w:bCs/>
        </w:rPr>
        <w:t xml:space="preserve">1. </w:t>
      </w:r>
      <w:r>
        <w:rPr>
          <w:i/>
          <w:iCs/>
        </w:rPr>
        <w:t>in a chapel .</w:t>
      </w:r>
    </w:p>
    <w:p w14:paraId="4E46EEC9">
      <w:pPr>
        <w:spacing w:after="40" w:line="264" w:lineRule="auto"/>
        <w:jc w:val="both"/>
      </w:pPr>
      <w:r>
        <w:rPr>
          <w:b/>
          <w:bCs/>
        </w:rPr>
        <w:t xml:space="preserve">2. </w:t>
      </w:r>
      <w:r>
        <w:rPr>
          <w:i/>
          <w:iCs/>
        </w:rPr>
        <w:t>the home appliances and often visit that he gaped at no .</w:t>
      </w:r>
    </w:p>
    <w:p w14:paraId="64DB6777">
      <w:pPr>
        <w:spacing w:after="40" w:line="264" w:lineRule="auto"/>
        <w:jc w:val="both"/>
      </w:pPr>
      <w:r>
        <w:rPr>
          <w:b/>
          <w:bCs/>
        </w:rPr>
        <w:t xml:space="preserve">3. </w:t>
      </w:r>
      <w:r>
        <w:rPr>
          <w:i/>
          <w:iCs/>
        </w:rPr>
        <w:t>and no better nor was confronted in short period .</w:t>
      </w:r>
    </w:p>
    <w:p w14:paraId="5EE9754D">
      <w:pPr>
        <w:spacing w:after="40" w:line="264" w:lineRule="auto"/>
        <w:jc w:val="both"/>
      </w:pPr>
      <w:r>
        <w:rPr>
          <w:b/>
          <w:bCs/>
        </w:rPr>
        <w:t xml:space="preserve">4. </w:t>
      </w:r>
      <w:r>
        <w:rPr>
          <w:i/>
          <w:iCs/>
        </w:rPr>
        <w:t>clerfayt of sea , madison place .</w:t>
      </w:r>
    </w:p>
    <w:p w14:paraId="1213AE2F">
      <w:pPr>
        <w:spacing w:after="40" w:line="264" w:lineRule="auto"/>
        <w:jc w:val="both"/>
      </w:pPr>
      <w:r>
        <w:rPr>
          <w:b/>
          <w:bCs/>
        </w:rPr>
        <w:t xml:space="preserve">5. </w:t>
      </w:r>
      <w:r>
        <w:rPr>
          <w:i/>
          <w:iCs/>
        </w:rPr>
        <w:t>`` early .</w:t>
      </w:r>
    </w:p>
    <w:p w14:paraId="0229F0CA">
      <w:pPr>
        <w:spacing w:after="110" w:line="264" w:lineRule="auto"/>
        <w:jc w:val="both"/>
      </w:pPr>
      <w:r>
        <w:t>Sampling starts at &lt;s&gt; and draws the next word from P(w | previous) until &lt;/s&gt;. Outputs are locally plausible (short function-word runs, valid bigrams) but globally incoherent — expected for a bigram, which has no memory beyond one word.</w:t>
      </w:r>
    </w:p>
    <w:p w14:paraId="66BC99AC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Q10. </w:t>
      </w:r>
      <w:r>
        <w:rPr>
          <w:b/>
          <w:bCs/>
          <w:color w:val="1E293B"/>
          <w:sz w:val="20"/>
          <w:szCs w:val="20"/>
        </w:rPr>
        <w:t>Unigram / bigram / trigram perplexity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CB582BE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A3C5E2E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Model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211BBA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Perplexity</w:t>
            </w:r>
          </w:p>
        </w:tc>
      </w:tr>
      <w:tr w14:paraId="48E36D6E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988108F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Unigram (add-1)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67CC1D3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726.47</w:t>
            </w:r>
          </w:p>
        </w:tc>
      </w:tr>
      <w:tr w14:paraId="2DF3AA59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2D9911E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Bigram (Laplace, add-1)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098A161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1,674.15</w:t>
            </w:r>
          </w:p>
        </w:tc>
      </w:tr>
      <w:tr w14:paraId="1DD8AE20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A599CB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Trigram (Laplace, add-1)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0035957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11,843.85</w:t>
            </w:r>
          </w:p>
        </w:tc>
      </w:tr>
    </w:tbl>
    <w:p w14:paraId="38134E78">
      <w:pPr>
        <w:spacing w:after="60"/>
      </w:pPr>
    </w:p>
    <w:p w14:paraId="238D1466">
      <w:pPr>
        <w:spacing w:after="110" w:line="264" w:lineRule="auto"/>
        <w:jc w:val="both"/>
      </w:pPr>
      <w:r>
        <w:rPr>
          <w:b/>
          <w:bCs/>
        </w:rPr>
        <w:t xml:space="preserve">Yes — the add-1 trigram perplexity (11,844) is HIGHER than the bigram. </w:t>
      </w:r>
      <w:r>
        <w:t>Discussion by the three factors: (i) Sparsity — trigram space is |V|³, so observed trigrams are extremely rare and most test trigrams are unseen. (ii) Smoothing — add-1 over that vast space is catastrophic: it hands almost all probability mass to unseen trigrams, so seen ones are heavily under-weighted. (iii) Longer history — conditioning on two words is genuinely more informative, but that benefit is swamped by (i) and (ii) under crude smoothing. Better smoothing (interpolation, backoff, Kneser–Ney) is precisely what lets a trigram overtake a bigram; with add-1 alone, higher order makes perplexity worse.</w:t>
      </w:r>
    </w:p>
    <w:p w14:paraId="45D80688">
      <w:pPr>
        <w:pStyle w:val="3"/>
        <w:pBdr>
          <w:bottom w:val="single" w:color="2563EB" w:sz="12" w:space="3"/>
        </w:pBdr>
        <w:spacing w:before="220" w:after="80"/>
      </w:pPr>
      <w:r>
        <w:rPr>
          <w:b/>
          <w:bCs/>
          <w:color w:val="0F172A"/>
          <w:sz w:val="23"/>
          <w:szCs w:val="23"/>
        </w:rPr>
        <w:t>Part 3 — HMM POS Tagger with Viterbi</w:t>
      </w:r>
    </w:p>
    <w:p w14:paraId="3FDC0FC0">
      <w:pPr>
        <w:spacing w:after="110" w:line="264" w:lineRule="auto"/>
        <w:jc w:val="both"/>
      </w:pPr>
      <w:r>
        <w:t xml:space="preserve">Brown with the Universal tagset, 80/20 split (seed 1007). Transition A = P(tᵢ|tᵢ₋₁) and emission B = P(wᵢ|tᵢ) are estimated by MLE with add-1 smoothing. The Viterbi decoder is implemented from scratch in log-space with explicit score and backpointer matrices — </w:t>
      </w:r>
      <w:r>
        <w:rPr>
          <w:b/>
          <w:bCs/>
        </w:rPr>
        <w:t>no library HMM/Viterbi is used</w:t>
      </w:r>
      <w:r>
        <w:t>.</w:t>
      </w:r>
    </w:p>
    <w:p w14:paraId="772AB58A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Q11. </w:t>
      </w:r>
      <w:r>
        <w:rPr>
          <w:b/>
          <w:bCs/>
          <w:color w:val="1E293B"/>
          <w:sz w:val="20"/>
          <w:szCs w:val="20"/>
        </w:rPr>
        <w:t>Top-5 NOUN transitions and VERB emissions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8D711FD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737FF0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P(tᵢ | NOUN)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6DC080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P(w | VERB)</w:t>
            </w:r>
          </w:p>
        </w:tc>
      </w:tr>
      <w:tr w14:paraId="2F8FE51C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A2556D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NOUN → .  </w:t>
            </w:r>
            <w:r>
              <w:rPr>
                <w:color w:val="475569"/>
                <w:sz w:val="17"/>
                <w:szCs w:val="17"/>
              </w:rPr>
              <w:t>P = 0.2831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9B7253C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VERB → is  </w:t>
            </w:r>
            <w:r>
              <w:rPr>
                <w:color w:val="475569"/>
                <w:sz w:val="17"/>
                <w:szCs w:val="17"/>
              </w:rPr>
              <w:t>P = 0.0423</w:t>
            </w:r>
          </w:p>
        </w:tc>
      </w:tr>
      <w:tr w14:paraId="1B7CBB0B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D7E97B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NOUN → ADP  </w:t>
            </w:r>
            <w:r>
              <w:rPr>
                <w:color w:val="475569"/>
                <w:sz w:val="17"/>
                <w:szCs w:val="17"/>
              </w:rPr>
              <w:t>P = 0.2441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7505D7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VERB → was  </w:t>
            </w:r>
            <w:r>
              <w:rPr>
                <w:color w:val="475569"/>
                <w:sz w:val="17"/>
                <w:szCs w:val="17"/>
              </w:rPr>
              <w:t>P = 0.0414</w:t>
            </w:r>
          </w:p>
        </w:tc>
      </w:tr>
      <w:tr w14:paraId="6FAFFF0D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119ADA4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NOUN → VERB  </w:t>
            </w:r>
            <w:r>
              <w:rPr>
                <w:color w:val="475569"/>
                <w:sz w:val="17"/>
                <w:szCs w:val="17"/>
              </w:rPr>
              <w:t>P = 0.1590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CF2F50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VERB → be  </w:t>
            </w:r>
            <w:r>
              <w:rPr>
                <w:color w:val="475569"/>
                <w:sz w:val="17"/>
                <w:szCs w:val="17"/>
              </w:rPr>
              <w:t>P = 0.0267</w:t>
            </w:r>
          </w:p>
        </w:tc>
      </w:tr>
      <w:tr w14:paraId="785FC378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DA93725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NOUN → NOUN  </w:t>
            </w:r>
            <w:r>
              <w:rPr>
                <w:color w:val="475569"/>
                <w:sz w:val="17"/>
                <w:szCs w:val="17"/>
              </w:rPr>
              <w:t>P = 0.1499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D5DF072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VERB → had  </w:t>
            </w:r>
            <w:r>
              <w:rPr>
                <w:color w:val="475569"/>
                <w:sz w:val="17"/>
                <w:szCs w:val="17"/>
              </w:rPr>
              <w:t>P = 0.0214</w:t>
            </w:r>
          </w:p>
        </w:tc>
      </w:tr>
      <w:tr w14:paraId="78CC8D55"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EB714C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NOUN → CONJ  </w:t>
            </w:r>
            <w:r>
              <w:rPr>
                <w:color w:val="475569"/>
                <w:sz w:val="17"/>
                <w:szCs w:val="17"/>
              </w:rPr>
              <w:t>P = 0.0596</w:t>
            </w:r>
          </w:p>
        </w:tc>
        <w:tc>
          <w:tcPr>
            <w:tcW w:w="46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32A61A8">
            <w:pPr>
              <w:spacing w:after="0" w:line="232" w:lineRule="auto"/>
              <w:jc w:val="left"/>
            </w:pPr>
            <w:r>
              <w:rPr>
                <w:sz w:val="17"/>
                <w:szCs w:val="17"/>
              </w:rPr>
              <w:t xml:space="preserve">VERB → are  </w:t>
            </w:r>
            <w:r>
              <w:rPr>
                <w:color w:val="475569"/>
                <w:sz w:val="17"/>
                <w:szCs w:val="17"/>
              </w:rPr>
              <w:t>P = 0.0187</w:t>
            </w:r>
          </w:p>
        </w:tc>
      </w:tr>
    </w:tbl>
    <w:p w14:paraId="545101DB">
      <w:pPr>
        <w:spacing w:after="60"/>
      </w:pPr>
    </w:p>
    <w:p w14:paraId="4F9B8CD2">
      <w:pPr>
        <w:spacing w:after="110" w:line="264" w:lineRule="auto"/>
        <w:jc w:val="both"/>
      </w:pPr>
      <w:r>
        <w:t>Both are linguistically sensible: nouns are most often followed by punctuation, a preposition, or a verb; the highest-probability verbs are the copulas/auxiliaries (is, was, be, had, are), which are by far the most frequent verb tokens.</w:t>
      </w:r>
    </w:p>
    <w:p w14:paraId="63BD8680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Q12. </w:t>
      </w:r>
      <w:r>
        <w:rPr>
          <w:b/>
          <w:bCs/>
          <w:color w:val="1E293B"/>
          <w:sz w:val="20"/>
          <w:szCs w:val="20"/>
        </w:rPr>
        <w:t>Viterbi from scratch</w:t>
      </w:r>
    </w:p>
    <w:p w14:paraId="6E0BEC96">
      <w:pPr>
        <w:spacing w:after="110" w:line="264" w:lineRule="auto"/>
        <w:jc w:val="both"/>
      </w:pPr>
      <w:r>
        <w:t>For each sentence the decoder fills a score matrix (best log-probability of reaching each tag at each position) and a backpointer matrix (which previous tag achieved it). Initialization uses the &lt;s&gt;→tag transition times the emission; the recursion maximizes score[i−1][k] + log A(k→j) + log B(j→wᵢ) over previous tags k; termination adds the tag→&lt;/s&gt; transition; the best final tag is then backtracked through the pointers to recover the full sequence. Working in log-space avoids underflow on long sentences.</w:t>
      </w:r>
    </w:p>
    <w:p w14:paraId="0E5BD3E3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Q13. </w:t>
      </w:r>
      <w:r>
        <w:rPr>
          <w:b/>
          <w:bCs/>
          <w:color w:val="1E293B"/>
          <w:sz w:val="20"/>
          <w:szCs w:val="20"/>
        </w:rPr>
        <w:t>Accuracy — overall, seen, OOV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830103F"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5FBAA07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Category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896C05C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Tokens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B0E3892">
            <w:pPr>
              <w:spacing w:after="0" w:line="232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Accuracy</w:t>
            </w:r>
          </w:p>
        </w:tc>
      </w:tr>
      <w:tr w14:paraId="568E942A"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BF79A3E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Overall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BE79C8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231,975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BABCFD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93.88%</w:t>
            </w:r>
          </w:p>
        </w:tc>
      </w:tr>
      <w:tr w14:paraId="6A3550D0"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4264318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Seen (in vocab)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4E5374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226,856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E0198AF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94.99%</w:t>
            </w:r>
          </w:p>
        </w:tc>
      </w:tr>
      <w:tr w14:paraId="47A4C4A3"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B25548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Unseen (OOV)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B1C4C93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5,119</w:t>
            </w:r>
          </w:p>
        </w:tc>
        <w:tc>
          <w:tcPr>
            <w:tcW w:w="31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E7C933">
            <w:pPr>
              <w:spacing w:after="0" w:line="232" w:lineRule="auto"/>
              <w:jc w:val="righ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44.62%</w:t>
            </w:r>
          </w:p>
        </w:tc>
      </w:tr>
    </w:tbl>
    <w:p w14:paraId="34BB23AD">
      <w:pPr>
        <w:spacing w:after="60"/>
      </w:pPr>
    </w:p>
    <w:p w14:paraId="5E303887">
      <w:pPr>
        <w:spacing w:after="110" w:line="264" w:lineRule="auto"/>
        <w:jc w:val="both"/>
      </w:pPr>
      <w:r>
        <w:rPr>
          <w:b/>
          <w:bCs/>
        </w:rPr>
        <w:t xml:space="preserve">Seen-word accuracy (95.0%) hugely exceeds OOV accuracy (44.6%). </w:t>
      </w:r>
      <w:r>
        <w:t>For seen words the emission P(w|tag) sharply constrains the tag; for OOV words every emission collapses to the add-1 floor 1/(count(tag)+|V|+1), nearly uniform across tags, so the tagger must rely on transitions alone and defaults toward frequent open classes (usually NOUN). The 50-point gap is the direct cost of having no lexical signal for unseen words.</w:t>
      </w:r>
    </w:p>
    <w:p w14:paraId="73FEFE50">
      <w:pPr>
        <w:spacing w:before="120" w:after="45"/>
      </w:pPr>
      <w:r>
        <w:rPr>
          <w:b/>
          <w:bCs/>
          <w:color w:val="2563EB"/>
          <w:sz w:val="20"/>
          <w:szCs w:val="20"/>
        </w:rPr>
        <w:t xml:space="preserve">Q14. </w:t>
      </w:r>
      <w:r>
        <w:rPr>
          <w:b/>
          <w:bCs/>
          <w:color w:val="1E293B"/>
          <w:sz w:val="20"/>
          <w:szCs w:val="20"/>
        </w:rPr>
        <w:t>Ten mis-tagged tokens and the dominant error type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000"/>
        <w:gridCol w:w="1000"/>
        <w:gridCol w:w="5460"/>
      </w:tblGrid>
      <w:tr w14:paraId="7F866AD1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8B9417A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Token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23A9D23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Gold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1ADDB30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Pred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FF6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7457AB7">
            <w:pPr>
              <w:spacing w:after="0" w:line="232" w:lineRule="auto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>Reason</w:t>
            </w:r>
          </w:p>
        </w:tc>
      </w:tr>
      <w:tr w14:paraId="71E5E5D3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8F92B0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jesus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174AA4C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NOUN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75B8DD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ADP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B2D5F1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OOV/rare — no emission signal, tagged from transitions</w:t>
            </w:r>
          </w:p>
        </w:tc>
      </w:tr>
      <w:tr w14:paraId="386748D3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A111CD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as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525EC2B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ADP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C993E4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ADV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F6E7C8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lexical ambiguity — 'as' is valid as ADP and ADV</w:t>
            </w:r>
          </w:p>
        </w:tc>
      </w:tr>
      <w:tr w14:paraId="3441C850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B8FA4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that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767EFF9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DET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0E55A4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ADP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0C1D5A3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lexical ambiguity — DET vs complementizer/ADP</w:t>
            </w:r>
          </w:p>
        </w:tc>
      </w:tr>
      <w:tr w14:paraId="11D6A855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CA8357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people's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D65744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NOUN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3D2E924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DET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1D7EE4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rare possessive form — sparse emission</w:t>
            </w:r>
          </w:p>
        </w:tc>
      </w:tr>
      <w:tr w14:paraId="326381E3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E3075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down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58CF1B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PRT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8ACEF62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ADP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8D9EF6B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lexical ambiguity — particle vs preposition</w:t>
            </w:r>
          </w:p>
        </w:tc>
      </w:tr>
      <w:tr w14:paraId="693D1E88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5D1EB8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much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B7F3AA8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ADV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C8EC35C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ADJ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3AB22BF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ambiguity — ADV vs ADJ in context</w:t>
            </w:r>
          </w:p>
        </w:tc>
      </w:tr>
      <w:tr w14:paraId="3875CA28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B364FE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british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6C4E9C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NOUN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C2EAA13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ADJ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EE008DB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denominal ambiguity — noun vs adjective use</w:t>
            </w:r>
          </w:p>
        </w:tc>
      </w:tr>
      <w:tr w14:paraId="5303557F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600E1F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tipped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1EB61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VERB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94DE4C1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ADP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4BF2CC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sparse context — rare verb form mis-transitioned</w:t>
            </w:r>
          </w:p>
        </w:tc>
      </w:tr>
      <w:tr w14:paraId="1223F408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C1EAAAF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stacy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4AB3F2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NOUN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58A03D6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PRT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C014BE8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OOV proper noun — no emission signal</w:t>
            </w:r>
          </w:p>
        </w:tc>
      </w:tr>
      <w:tr w14:paraId="1BFCFFBC"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C51B93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essential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E5E55FD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NOUN</w:t>
            </w:r>
          </w:p>
        </w:tc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B8EF619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>ADJ</w:t>
            </w:r>
          </w:p>
        </w:tc>
        <w:tc>
          <w:tcPr>
            <w:tcW w:w="54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8FAFC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FB40D85">
            <w:pPr>
              <w:spacing w:after="0" w:line="232" w:lineRule="auto"/>
              <w:jc w:val="left"/>
            </w:pPr>
            <w:r>
              <w:rPr>
                <w:b w:val="0"/>
                <w:bCs w:val="0"/>
                <w:color w:val="1A1A1A"/>
                <w:sz w:val="16"/>
                <w:szCs w:val="16"/>
              </w:rPr>
              <w:t>ambiguity — nominal vs adjectival use</w:t>
            </w:r>
          </w:p>
        </w:tc>
      </w:tr>
    </w:tbl>
    <w:p w14:paraId="6262990F">
      <w:pPr>
        <w:spacing w:after="60"/>
      </w:pPr>
    </w:p>
    <w:p w14:paraId="22BB8D42">
      <w:pPr>
        <w:spacing w:after="110" w:line="264" w:lineRule="auto"/>
        <w:jc w:val="both"/>
      </w:pPr>
      <w:r>
        <w:rPr>
          <w:b/>
          <w:bCs/>
        </w:rPr>
        <w:t xml:space="preserve">Error-type summary: </w:t>
      </w:r>
      <w:r>
        <w:t xml:space="preserve">of 14,190 total errors, 80.0% are on seen words and 20.0% on OOV words. By raw count the most frequent error type is </w:t>
      </w:r>
      <w:r>
        <w:rPr>
          <w:b/>
          <w:bCs/>
        </w:rPr>
        <w:t>seen-word lexical ambiguity</w:t>
      </w:r>
      <w:r>
        <w:t xml:space="preserve"> — words like ‘that’, ‘as’, ‘down’ that are valid under several tags, where a sparse or mis-estimated transition picks the wrong one. By error RATE, however, OOV tokens are far worse (55% wrong vs 5% for seen words), since they carry no emission signal. So ambiguity dominates the error count while OOV dominates the error rate.</w:t>
      </w:r>
    </w:p>
    <w:p w14:paraId="17114B7E">
      <w:pPr>
        <w:pStyle w:val="3"/>
        <w:pBdr>
          <w:bottom w:val="single" w:color="2563EB" w:sz="12" w:space="3"/>
        </w:pBdr>
        <w:spacing w:before="220" w:after="80"/>
      </w:pPr>
      <w:r>
        <w:rPr>
          <w:b/>
          <w:bCs/>
          <w:color w:val="0F172A"/>
          <w:sz w:val="23"/>
          <w:szCs w:val="23"/>
        </w:rPr>
        <w:t>Reproducibility &amp; Disclosures</w:t>
      </w:r>
    </w:p>
    <w:p w14:paraId="2DFBB78E">
      <w:pPr>
        <w:pStyle w:val="16"/>
        <w:numPr>
          <w:ilvl w:val="0"/>
          <w:numId w:val="1"/>
        </w:numPr>
        <w:spacing w:after="50" w:line="264" w:lineRule="auto"/>
        <w:jc w:val="both"/>
      </w:pPr>
      <w:r>
        <w:rPr>
          <w:b/>
          <w:bCs/>
        </w:rPr>
        <w:t xml:space="preserve">Single-command runs: </w:t>
      </w:r>
      <w:r>
        <w:t>each part is one script — python part1_zipf.py / part2_lm.py / part3_hmm.py — with a requirements.txt; NLTK data auto-downloads on first run.</w:t>
      </w:r>
    </w:p>
    <w:p w14:paraId="773081B5">
      <w:pPr>
        <w:pStyle w:val="16"/>
        <w:numPr>
          <w:ilvl w:val="0"/>
          <w:numId w:val="1"/>
        </w:numPr>
        <w:spacing w:after="50" w:line="264" w:lineRule="auto"/>
        <w:jc w:val="both"/>
      </w:pPr>
      <w:r>
        <w:rPr>
          <w:b/>
          <w:bCs/>
        </w:rPr>
        <w:t xml:space="preserve">Reproducible: </w:t>
      </w:r>
      <w:r>
        <w:t>a fixed seed (1007) governs the train/test split and all sampling.</w:t>
      </w:r>
    </w:p>
    <w:p w14:paraId="590CFF9C">
      <w:pPr>
        <w:pStyle w:val="16"/>
        <w:numPr>
          <w:ilvl w:val="0"/>
          <w:numId w:val="1"/>
        </w:numPr>
        <w:spacing w:after="50" w:line="264" w:lineRule="auto"/>
        <w:jc w:val="both"/>
      </w:pPr>
      <w:r>
        <w:rPr>
          <w:b/>
          <w:bCs/>
        </w:rPr>
        <w:t xml:space="preserve">From scratch (Part 3): </w:t>
      </w:r>
      <w:r>
        <w:t>transition/emission estimation and the Viterbi decoder are implemented directly; no built-in HMM or Viterbi is used. NLTK is used only to load the corpus/tagset.</w:t>
      </w:r>
    </w:p>
    <w:p w14:paraId="08DEE32A">
      <w:pPr>
        <w:pStyle w:val="16"/>
        <w:numPr>
          <w:ilvl w:val="0"/>
          <w:numId w:val="1"/>
        </w:numPr>
        <w:spacing w:after="50" w:line="264" w:lineRule="auto"/>
        <w:jc w:val="both"/>
      </w:pPr>
      <w:r>
        <w:rPr>
          <w:b/>
          <w:bCs/>
        </w:rPr>
        <w:t xml:space="preserve">No pre-trained models: </w:t>
      </w:r>
      <w:r>
        <w:t>all counts and probabilities are estimated from the Brown training split.</w:t>
      </w:r>
    </w:p>
    <w:sectPr>
      <w:pgSz w:w="12240" w:h="15840"/>
      <w:pgMar w:top="1100" w:right="1340" w:bottom="1000" w:left="13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7D4C48"/>
    <w:multiLevelType w:val="multilevel"/>
    <w:tmpl w:val="D97D4C4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FBAE8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85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NLU A1</dc:creator>
  <cp:lastModifiedBy>Abhishek Kumar (G25AIT1007)</cp:lastModifiedBy>
  <dcterms:modified xsi:type="dcterms:W3CDTF">2026-07-06T23:29:49Z</dcterms:modified>
  <dc:title>NLU Assignment 1 Report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A6B3EA07C2A3DFEC15ED4B6A2DDECA0C_42</vt:lpwstr>
  </property>
</Properties>
</file>