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Truba Bank System: Comprehensive Technical Report</w:t>
      </w:r>
    </w:p>
    <w:p>
      <w:r>
        <w:t>A Deep-Dive into the Architecture, Security, and Cryptography of the Truba Bank Prototype</w:t>
        <w:br/>
      </w:r>
    </w:p>
    <w:p>
      <w:pPr>
        <w:pStyle w:val="Heading1"/>
      </w:pPr>
      <w:r>
        <w:t>1. Executive Summary</w:t>
      </w:r>
    </w:p>
    <w:p>
      <w:r>
        <w:t>The Truba Bank prototype is a full-stack, highly secure financial application. It serves as a professional demonstration of modern web security, cryptographic protocols, and robust application architecture. The system is designed to simulate a real-world banking environment, defending against common web vulnerabilities (OWASP Top 10) while providing a frictionless, responsive user experience. It achieves this by decoupling the frontend from the backend and enforcing strict gatekeeping rules.</w:t>
      </w:r>
    </w:p>
    <w:p>
      <w:pPr>
        <w:pStyle w:val="Heading1"/>
      </w:pPr>
      <w:r>
        <w:t>2. System Architecture</w:t>
      </w:r>
    </w:p>
    <w:p>
      <w:pPr>
        <w:pStyle w:val="Heading2"/>
      </w:pPr>
      <w:r>
        <w:t>2.1 Decoupled Client-Server Model</w:t>
      </w:r>
    </w:p>
    <w:p>
      <w:r>
        <w:t>The application utilizes a strictly decoupled architecture:</w:t>
        <w:br/>
        <w:t>• Frontend (React): The presentation layer handles state management and user interactions. It contains no proprietary security logic or direct database access, entirely eliminating direct exploitation vectors from the client side.</w:t>
        <w:br/>
        <w:t>• Backend (FastAPI): Built on Python, the FastAPI backend acts as the authoritative gatekeeper. Powered by Starlette and Pydantic, it leverages asynchronous processing to handle high concurrency, a critical requirement for financial transaction processing engines.</w:t>
      </w:r>
    </w:p>
    <w:p>
      <w:pPr>
        <w:pStyle w:val="Heading2"/>
      </w:pPr>
      <w:r>
        <w:t>2.2 Stateless Authentication (JWT)</w:t>
      </w:r>
    </w:p>
    <w:p>
      <w:r>
        <w:t>Traditional session-based authentication requires the server to track active sessions in memory or a database, creating bottlenecks during scaling. Truba Bank utilizes JSON Web Tokens (JWTs).</w:t>
        <w:br/>
        <w:t>• Scalability: The server does not store tokens. It mathematically verifies the token's cryptographic signature upon receiving a request, making horizontal scaling trivial.</w:t>
        <w:br/>
        <w:t>• CSRF Mitigation: Because JWTs are sent explicitly via the Authorization header (Bearer tokens) rather than as ambient cookies, the browser does not automatically attach credentials to cross-origin requests, fundamentally neutralizing Cross-Site Request Forgery (CSRF) vulnerabilities.</w:t>
      </w:r>
    </w:p>
    <w:p>
      <w:pPr>
        <w:pStyle w:val="Heading1"/>
      </w:pPr>
      <w:r>
        <w:t>3. Application Flow &amp; User Experience</w:t>
      </w:r>
    </w:p>
    <w:p>
      <w:pPr>
        <w:pStyle w:val="Heading2"/>
      </w:pPr>
      <w:r>
        <w:t>3.1 Secure Onboarding &amp; Login (2FA)</w:t>
      </w:r>
    </w:p>
    <w:p>
      <w:r>
        <w:t>The onboarding process generates a unique Account Number and a unique TOTP (Time-based One-Time Password) secret for the user, visually represented as a QR code.</w:t>
        <w:br/>
        <w:t>During login, the system enforces a strict 2-step process:</w:t>
        <w:br/>
        <w:t>1. The user inputs their email and password. The backend verifies the password hash.</w:t>
        <w:br/>
        <w:t>2. If valid, the backend withholds the access token and prompts for a 6-digit MFA code.</w:t>
        <w:br/>
        <w:t>3. The user inputs the code from their authenticator app. Upon automated verification, the JWT is finally issued.</w:t>
      </w:r>
    </w:p>
    <w:p>
      <w:pPr>
        <w:pStyle w:val="Heading2"/>
      </w:pPr>
      <w:r>
        <w:t>3.2 Fund Transfers &amp; AML Simulation</w:t>
      </w:r>
    </w:p>
    <w:p>
      <w:r>
        <w:t>Users initiate internal transfers by providing a recipient account number and an amount. To cryptographically sign the intent of the transfer, the user must input a fresh 6-digit MFA code.</w:t>
        <w:br/>
        <w:t>Anti-Money Laundering (AML) controls are simulated: If a transfer amount exceeds the automated threshold (e.g., £1,000), the system intercepts it, placing it in a "pending_review" state. It requires manual approval from an administrator before funds are settled.</w:t>
      </w:r>
    </w:p>
    <w:p>
      <w:pPr>
        <w:pStyle w:val="Heading1"/>
      </w:pPr>
      <w:r>
        <w:t>4. Cryptographic Algorithms in Use</w:t>
      </w:r>
    </w:p>
    <w:p>
      <w:pPr>
        <w:pStyle w:val="Heading2"/>
      </w:pPr>
      <w:r>
        <w:t>4.1 Password Hashing: Argon2</w:t>
      </w:r>
    </w:p>
    <w:p>
      <w:r>
        <w:t>Argon2id is the winner of the Password Hashing Competition (PHC) and the current OWASP recommendation. It is "memory-hard," meaning it requires significant RAM to compute hashes. This renders brute-force and dictionary attacks via GPUs or ASICs impractically expensive for attackers, while also defending against side-channel timing attacks.</w:t>
      </w:r>
    </w:p>
    <w:p>
      <w:pPr>
        <w:pStyle w:val="Heading2"/>
      </w:pPr>
      <w:r>
        <w:t>4.2 Token Signing: HS256</w:t>
      </w:r>
    </w:p>
    <w:p>
      <w:r>
        <w:t>HS256 (HMAC with SHA-256) is a highly performant symmetric algorithm used to sign the JWTs. Because the FastAPI backend is the sole issuer and verifier of the tokens, a shared secret is perfectly suited. It ensures that token payloads (such as user ID and role permissions) cannot be tampered with by a malicious client.</w:t>
      </w:r>
    </w:p>
    <w:p>
      <w:pPr>
        <w:pStyle w:val="Heading2"/>
      </w:pPr>
      <w:r>
        <w:t>4.3 Immutable Audit Logging: SHA-256 Hash Chaining</w:t>
      </w:r>
    </w:p>
    <w:p>
      <w:r>
        <w:t>Financial systems demand absolute non-repudiation. Every time a system event occurs (login, transfer, admin action), a SHA-256 hash is computed combining the event's data and the hash of the immediately preceding event.</w:t>
        <w:br/>
        <w:t>This creates a blockchain-like data structure. If a rogue administrator attempts to alter historical transaction data, the mathematical chain is broken, immediately alerting auditors to the tampering.</w:t>
      </w:r>
    </w:p>
    <w:p>
      <w:pPr>
        <w:pStyle w:val="Heading2"/>
      </w:pPr>
      <w:r>
        <w:t>4.4 Multi-Factor Authentication: TOTP</w:t>
      </w:r>
    </w:p>
    <w:p>
      <w:r>
        <w:t>Time-based One-Time Passwords (TOTP, RFC 6238) rely on a shared secret and the current UNIX timestamp. The user's authenticator app generates valid codes entirely offline, neutralizing phishing and credential stuffing attacks; an attacker with a stolen password still cannot breach the account without physical access to the user's secondary device.</w:t>
      </w:r>
    </w:p>
    <w:p>
      <w:pPr>
        <w:pStyle w:val="Heading1"/>
      </w:pPr>
      <w:r>
        <w:t>5. Additional Threat Mitigation</w:t>
      </w:r>
    </w:p>
    <w:p>
      <w:pPr>
        <w:pStyle w:val="Heading2"/>
      </w:pPr>
      <w:r>
        <w:t>5.1 SQL Injection (SQLi) Prevention</w:t>
      </w:r>
    </w:p>
    <w:p>
      <w:r>
        <w:t>The backend uses raw SQL via the aiomysql asynchronous driver to maintain total control over query performance. However, all queries strictly utilize prepared statements (parameterization). By explicitly separating the SQL structure from user-provided inputs at the driver level, SQL injection attacks are mathematically impossible.</w:t>
      </w:r>
    </w:p>
    <w:p>
      <w:pPr>
        <w:pStyle w:val="Heading2"/>
      </w:pPr>
      <w:r>
        <w:t>5.2 Strict Role-Based Access Control (RBAC)</w:t>
      </w:r>
    </w:p>
    <w:p>
      <w:r>
        <w:t>The system enforces a rigid boundary between "customer" and "admin" roles. Admins are completely restricted from initiating transfers or viewing standard customer dashboards. Customers are forcefully blocked from accessing the immutable audit logs and pending transfer queues. This isolation prevents privilege escalation vulnerabilities.</w:t>
      </w:r>
    </w:p>
    <w:p>
      <w:pPr>
        <w:pStyle w:val="Heading2"/>
      </w:pPr>
      <w:r>
        <w:t>5.3 Transport Layer Security &amp; Rate Limiting</w:t>
      </w:r>
    </w:p>
    <w:p>
      <w:r>
        <w:t>The backend enforces HTTPS (TLS/SSL). All data transmitted between the React client and the FastAPI backend is encrypted in transit, neutralizing Man-in-the-Middle (MitM) attacks.</w:t>
        <w:br/>
        <w:t>Furthermore, strict rate-limiting middlewares are applied to API endpoints. If an IP address requests the login or MFA verification endpoints too frequently, it is temporarily blocked from the system to prevent automated brute-forcing.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