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F4E79"/>
          <w:sz w:val="44"/>
        </w:rPr>
        <w:t>Performance Evaluation of Machine Learning and Deep Learning Models for Credit Risk Prediction</w:t>
      </w:r>
    </w:p>
    <w:p>
      <w:pPr>
        <w:spacing w:after="320"/>
        <w:jc w:val="center"/>
      </w:pPr>
      <w:r>
        <w:rPr>
          <w:rFonts w:ascii="Calibri" w:hAnsi="Calibri"/>
          <w:color w:val="2E75B6"/>
          <w:sz w:val="26"/>
        </w:rPr>
        <w:t>A Three-Way Comparative Benchmark: Authors' Published Study vs. Pure Baseline Reproduction vs. Methodologically Enhanced Production Model</w:t>
      </w:r>
    </w:p>
    <w:tbl>
      <w:tblPr>
        <w:tblW w:type="auto" w:w="0"/>
        <w:jc w:val="center"/>
        <w:tblLook w:firstColumn="1" w:firstRow="1" w:lastColumn="0" w:lastRow="0" w:noHBand="0" w:noVBand="1" w:val="04A0"/>
      </w:tblPr>
      <w:tblGrid>
        <w:gridCol w:w="4680"/>
        <w:gridCol w:w="4680"/>
      </w:tblGrid>
      <w:tr>
        <w:trPr>
          <w:cantSplit/>
          <w:tblHeader/>
        </w:trPr>
        <w:tc>
          <w:tcPr>
            <w:tcW w:type="dxa" w:w="3168"/>
            <w:vAlign w:val="center"/>
            <w:tcMar>
              <w:top w:w="80" w:type="dxa"/>
              <w:bottom w:w="80" w:type="dxa"/>
              <w:left w:w="120" w:type="dxa"/>
              <w:right w:w="120" w:type="dxa"/>
            </w:tcMar>
            <w:shd w:fill="2E75B6"/>
          </w:tcPr>
          <w:p>
            <w:pPr>
              <w:jc w:val="center"/>
            </w:pPr>
            <w:r>
              <w:rPr>
                <w:rFonts w:ascii="Calibri" w:hAnsi="Calibri"/>
                <w:b/>
                <w:color w:val="FFFFFF"/>
                <w:sz w:val="19"/>
              </w:rPr>
              <w:t>Evaluated Research Paper:</w:t>
            </w:r>
          </w:p>
        </w:tc>
        <w:tc>
          <w:tcPr>
            <w:tcW w:type="dxa" w:w="6192"/>
            <w:vAlign w:val="center"/>
            <w:tcMar>
              <w:top w:w="80" w:type="dxa"/>
              <w:bottom w:w="80" w:type="dxa"/>
              <w:left w:w="120" w:type="dxa"/>
              <w:right w:w="120" w:type="dxa"/>
            </w:tcMar>
            <w:shd w:fill="2E75B6"/>
          </w:tcPr>
          <w:p>
            <w:pPr>
              <w:jc w:val="center"/>
            </w:pPr>
            <w:r>
              <w:rPr>
                <w:rFonts w:ascii="Calibri" w:hAnsi="Calibri"/>
                <w:b/>
                <w:color w:val="FFFFFF"/>
                <w:sz w:val="19"/>
              </w:rPr>
              <w:t>Irvine Mapfumo &amp; Thokozani Shongwe (2026), Journal of Risk and Financial Management, 19(3), 210</w:t>
            </w:r>
          </w:p>
        </w:tc>
      </w:tr>
      <w:tr>
        <w:trPr>
          <w:cantSplit/>
        </w:trPr>
        <w:tc>
          <w:tcPr>
            <w:tcW w:type="dxa" w:w="3168"/>
            <w:vAlign w:val="center"/>
            <w:tcMar>
              <w:top w:w="80" w:type="dxa"/>
              <w:bottom w:w="80" w:type="dxa"/>
              <w:left w:w="120" w:type="dxa"/>
              <w:right w:w="120" w:type="dxa"/>
            </w:tcMar>
            <w:shd w:fill="FFFFFF"/>
          </w:tcPr>
          <w:p>
            <w:r>
              <w:rPr>
                <w:rFonts w:ascii="Calibri" w:hAnsi="Calibri"/>
                <w:b/>
                <w:sz w:val="19"/>
              </w:rPr>
              <w:t>Coursework Module:</w:t>
            </w:r>
          </w:p>
        </w:tc>
        <w:tc>
          <w:tcPr>
            <w:tcW w:type="dxa" w:w="6192"/>
            <w:vAlign w:val="center"/>
            <w:tcMar>
              <w:top w:w="80" w:type="dxa"/>
              <w:bottom w:w="80" w:type="dxa"/>
              <w:left w:w="120" w:type="dxa"/>
              <w:right w:w="120" w:type="dxa"/>
            </w:tcMar>
            <w:shd w:fill="FFFFFF"/>
          </w:tcPr>
          <w:p>
            <w:r>
              <w:rPr>
                <w:rFonts w:ascii="Calibri" w:hAnsi="Calibri"/>
                <w:sz w:val="19"/>
              </w:rPr>
              <w:t>Machine Learning Credit Risk Analytics (Coursework Option A)</w:t>
            </w:r>
          </w:p>
        </w:tc>
      </w:tr>
      <w:tr>
        <w:trPr>
          <w:cantSplit/>
        </w:trPr>
        <w:tc>
          <w:tcPr>
            <w:tcW w:type="dxa" w:w="3168"/>
            <w:vAlign w:val="center"/>
            <w:tcMar>
              <w:top w:w="80" w:type="dxa"/>
              <w:bottom w:w="80" w:type="dxa"/>
              <w:left w:w="120" w:type="dxa"/>
              <w:right w:w="120" w:type="dxa"/>
            </w:tcMar>
            <w:shd w:fill="F2F5F9"/>
          </w:tcPr>
          <w:p>
            <w:r>
              <w:rPr>
                <w:rFonts w:ascii="Calibri" w:hAnsi="Calibri"/>
                <w:b/>
                <w:sz w:val="19"/>
              </w:rPr>
              <w:t>Primary Artifacts:</w:t>
            </w:r>
          </w:p>
        </w:tc>
        <w:tc>
          <w:tcPr>
            <w:tcW w:type="dxa" w:w="6192"/>
            <w:vAlign w:val="center"/>
            <w:tcMar>
              <w:top w:w="80" w:type="dxa"/>
              <w:bottom w:w="80" w:type="dxa"/>
              <w:left w:w="120" w:type="dxa"/>
              <w:right w:w="120" w:type="dxa"/>
            </w:tcMar>
            <w:shd w:fill="F2F5F9"/>
          </w:tcPr>
          <w:p>
            <w:r>
              <w:rPr>
                <w:rFonts w:ascii="Calibri" w:hAnsi="Calibri"/>
                <w:sz w:val="19"/>
              </w:rPr>
              <w:t>credit_risk_paper_reproduction.ipynb &amp; credit_risk_enhanced_model.ipynb</w:t>
            </w:r>
          </w:p>
        </w:tc>
      </w:tr>
      <w:tr>
        <w:trPr>
          <w:cantSplit/>
        </w:trPr>
        <w:tc>
          <w:tcPr>
            <w:tcW w:type="dxa" w:w="3168"/>
            <w:vAlign w:val="center"/>
            <w:tcMar>
              <w:top w:w="80" w:type="dxa"/>
              <w:bottom w:w="80" w:type="dxa"/>
              <w:left w:w="120" w:type="dxa"/>
              <w:right w:w="120" w:type="dxa"/>
            </w:tcMar>
            <w:shd w:fill="FFFFFF"/>
          </w:tcPr>
          <w:p>
            <w:r>
              <w:rPr>
                <w:rFonts w:ascii="Calibri" w:hAnsi="Calibri"/>
                <w:b/>
                <w:sz w:val="19"/>
              </w:rPr>
              <w:t>GitHub Repository:</w:t>
            </w:r>
          </w:p>
        </w:tc>
        <w:tc>
          <w:tcPr>
            <w:tcW w:type="dxa" w:w="6192"/>
            <w:vAlign w:val="center"/>
            <w:tcMar>
              <w:top w:w="80" w:type="dxa"/>
              <w:bottom w:w="80" w:type="dxa"/>
              <w:left w:w="120" w:type="dxa"/>
              <w:right w:w="120" w:type="dxa"/>
            </w:tcMar>
            <w:shd w:fill="FFFFFF"/>
          </w:tcPr>
          <w:p>
            <w:r>
              <w:rPr>
                <w:rFonts w:ascii="Calibri" w:hAnsi="Calibri"/>
                <w:sz w:val="19"/>
              </w:rPr>
              <w:t>https://github.com/KaviduIsura/Research-Credit-Risk-Analysis</w:t>
            </w:r>
          </w:p>
        </w:tc>
      </w:tr>
    </w:tbl>
    <w:p>
      <w:pPr>
        <w:spacing w:after="240"/>
      </w:pPr>
    </w:p>
    <w:p>
      <w:pPr>
        <w:pStyle w:val="Heading1"/>
      </w:pPr>
      <w:r>
        <w:rPr>
          <w:color w:val="1F4E79"/>
        </w:rPr>
        <w:t>Executive Summary</w:t>
      </w:r>
    </w:p>
    <w:p>
      <w:r>
        <w:t>This coursework report provides a thorough, empirical, and critical evaluation of the research paper 'Performance Evaluation of Machine Learning and Deep Learning Models for Credit Risk Prediction' (Mapfumo &amp; Shongwe, 2026, JRFM). The project encompasses three interconnected pillars: (1) an exact replication of the published experimental setup on 100% full datasets, (2) a forensic audit that uncovered and empirically proved fatal data leakage in the authors' published German credit model, and (3) the architecture, training, and empirical verification of a methodologically corrected Enhanced Production Model. Across 10-fold cross-validation on all 1,000 German Credit and 29,965 clean Taiwan Credit instances, my enhanced framework resolves continuous monetary feature skewness, eliminates categorical corruption from Euclidean SMOTE, optimizes commercial decision thresholds under an asymmetric 5:1 loss matrix, achieves statistically significant gains in default detection (Recall +15.7%, p = 0.0162), and satisfies international regulatory fairness and calibration standards.</w:t>
      </w:r>
    </w:p>
    <w:tbl>
      <w:tblPr>
        <w:tblW w:type="auto" w:w="0"/>
        <w:jc w:val="center"/>
        <w:tblLook w:firstColumn="1" w:firstRow="1" w:lastColumn="0" w:lastRow="0" w:noHBand="0" w:noVBand="1" w:val="04A0"/>
      </w:tblPr>
      <w:tblGrid>
        <w:gridCol w:w="9360"/>
      </w:tblGrid>
      <w:tr>
        <w:tc>
          <w:tcPr>
            <w:tcW w:type="dxa" w:w="9360"/>
            <w:shd w:fill="F2F5F9"/>
            <w:tcMar>
              <w:top w:w="120" w:type="dxa"/>
              <w:bottom w:w="120" w:type="dxa"/>
              <w:left w:w="200" w:type="dxa"/>
              <w:right w:w="150" w:type="dxa"/>
            </w:tcMar>
            <w:tcBorders>
              <w:top w:val="none"/>
              <w:left w:val="single" w:sz="24" w:space="0" w:color="1F4E79"/>
              <w:bottom w:val="none"/>
              <w:right w:val="none"/>
            </w:tcBorders>
          </w:tcPr>
          <w:p>
            <w:pPr>
              <w:spacing w:before="40" w:after="40"/>
            </w:pPr>
            <w:r>
              <w:rPr>
                <w:rFonts w:ascii="Calibri" w:hAnsi="Calibri"/>
                <w:b/>
                <w:color w:val="1F4E79"/>
                <w:sz w:val="21"/>
              </w:rPr>
              <w:t xml:space="preserve">KEY TAKEAWAY: </w:t>
            </w:r>
            <w:r>
              <w:rPr>
                <w:rFonts w:ascii="Calibri" w:hAnsi="Calibri"/>
                <w:i/>
                <w:color w:val="282828"/>
                <w:sz w:val="21"/>
              </w:rPr>
              <w:t>Core Finding: The authors' published German MLP F1-Score of 0.937 is an experimental artifact caused by applying SMOTE-ENN prior to the cross-validation train/test split. When evaluated under strict leak-free 10-fold cross-validation, the true baseline F1 is 0.582. My enhanced model achieves F1 = 0.574 while cutting commercial default financial loss from 118 down to 53 (55.0% financial savings) by lifting default recall to 89.7%.</w:t>
            </w:r>
          </w:p>
        </w:tc>
      </w:tr>
    </w:tbl>
    <w:p/>
    <w:p>
      <w:pPr>
        <w:pStyle w:val="Heading1"/>
      </w:pPr>
      <w:r>
        <w:rPr>
          <w:color w:val="1F4E79"/>
        </w:rPr>
        <w:t>Chapter 1: Deconstruction of the Authors' Published Model</w:t>
      </w:r>
    </w:p>
    <w:p>
      <w:r>
        <w:t>In their 2026 study published in the Journal of Risk and Financial Management, Mapfumo and Shongwe conducted an extensive comparative benchmark evaluating 10 distinct supervised machine learning and deep learning architectures for credit risk assessment. The classifiers spanned traditional statistical models (Logistic Regression), kernel machines (Support Vector Classifiers), ensemble methods (Random Forest, AdaBoost, XGBoost), neural networks (Multilayer Perceptrons), and deep sequence/convolutional architectures (1D-CNN, LSTM, GRU). These models were trained across four resampling conditions: No Resampling, SMOTE, ENN, and hybrid SMOTE-ENN.</w:t>
      </w:r>
    </w:p>
    <w:p>
      <w:pPr>
        <w:pStyle w:val="Heading2"/>
      </w:pPr>
      <w:r>
        <w:t>1.1 Published Empirical Highlights</w:t>
      </w:r>
    </w:p>
    <w:p>
      <w:r>
        <w:t>The authors reported high performance benchmarks in Table 5 (Statlog German Credit) and Table 6 (Taiwan Credit Card Default):</w:t>
        <w:br/>
        <w:t>• German Credit (Table 5): Multilayer Perceptron (MLP) combined with SMOTE-ENN was reported as the global best model, achieving an Accuracy of 0.954, Recall of 0.929, Precision of 0.945, Specificity of 0.968, and an F1-Score of 0.937.</w:t>
        <w:br/>
        <w:t>• Taiwan Credit (Table 6): Random Forest with SMOTE-ENN was declared the top architecture, delivering an Accuracy of 0.821, Recall of 0.745, Precision of 0.512, Specificity of 0.842, and an F1-Score of 0.610.</w:t>
      </w:r>
    </w:p>
    <w:p>
      <w:pPr>
        <w:pStyle w:val="Heading2"/>
      </w:pPr>
      <w:r>
        <w:t>1.2 Methodological Flaws Identified in the Phase 1 Critical Audit</w:t>
      </w:r>
    </w:p>
    <w:p>
      <w:r>
        <w:t>A rigorous audit of the paper's experimental protocol revealed six fundamental methodological vulnerabilities:</w:t>
        <w:br/>
        <w:t>1. Pre-Split Resampling Data Leakage: The paper's German credit results (F1 = 0.937) exhibited performance metrics far exceeding known theoretical Bayes error rates for 1,000 noisy credit records. As proven in my controlled experiment, this occurred because oversampling was applied prior to partitioning validation folds, synthesizing test record profiles into training splits.</w:t>
        <w:br/>
        <w:t>2. Continuous Scale Distortion: Raw monetary features (e.g., LIMIT_BAL, BILL_AMT) with variance exceeding 10^10 were processed without in-fold standardization, causing Euclidean distance calculations in SMOTE and k-NN cleaning to be completely dominated by arbitrary monetary units.</w:t>
        <w:br/>
        <w:t>3. Categorical Corruption via Euclidean SMOTE: Standard SMOTE performs linear interpolation across integer-encoded nominal attributes, synthesizing physically impossible fractional categories (e.g., Education level 1.74 or Marriage status 2.31).</w:t>
        <w:br/>
        <w:t>4. Data Hygiene Neglect: The Taiwan dataset contained 35 identical duplicate borrower records, undocumented education levels (0, 5, 6), and marriage level 0, none of which were audited or documented in the paper.</w:t>
        <w:br/>
        <w:t>5. Arbitrary Decision Cutoff: The authors evaluated all models at a fixed 0.50 threshold, completely disregarding the commercial asymmetric loss matrix of banking (where defaulting borrowers are 5x more costly than false rejections).</w:t>
        <w:br/>
        <w:t>6. Absence of Hypothesis Testing &amp; Ethical Audits: The study reported point estimates without cross-validation variance correction (Nadeau-Bengio) and failed to perform probability calibration or demographic fairness auditing across protected classes.</w:t>
      </w:r>
    </w:p>
    <w:p>
      <w:pPr>
        <w:pStyle w:val="Heading1"/>
      </w:pPr>
      <w:r>
        <w:rPr>
          <w:color w:val="1F4E79"/>
        </w:rPr>
        <w:t>Chapter 2: My First Model – Baseline Paper Reproduction &amp; Leakage Verification</w:t>
      </w:r>
    </w:p>
    <w:p>
      <w:r>
        <w:t>To establish a true, scientifically valid benchmark, my first model implemented Algorithm 1 from Section 3.6 of the paper with strict mathematical hygiene. Cross-validation was conducted using 10-Fold Stratified Cross-Validation on 100% of both datasets (1,000 German records; 30,000 Taiwan records). Resampling (None, SMOTE, ENN, SMOTE-ENN) and feature scaling were strictly confined inside each training fold, guaranteeing zero validation leakage.</w:t>
      </w:r>
    </w:p>
    <w:p>
      <w:pPr>
        <w:pStyle w:val="Heading2"/>
      </w:pPr>
      <w:r>
        <w:t>2.1 Baseline Reproduction Benchmark Results</w:t>
      </w:r>
    </w:p>
    <w:p>
      <w:r>
        <w:t>The complete execution of Algorithm 1 yielded the empirical baselines recorded in reproduced_table5_german.csv and reproduced_table6_taiwan.csv:</w:t>
        <w:br/>
        <w:t>• German Credit (Baseline Top Model: Random Forest + SMOTE-ENN): Accuracy = 0.681, Recall = 0.740, Precision = 0.481, Specificity = 0.656, F1-Score = 0.582.</w:t>
        <w:br/>
        <w:t>• Taiwan Credit (Baseline Top Model: Random Forest + SMOTE-ENN): Accuracy = 0.758, Recall = 0.613, Precision = 0.464, Specificity = 0.799, F1-Score = 0.528.</w:t>
      </w:r>
    </w:p>
    <w:p>
      <w:pPr>
        <w:pStyle w:val="Heading2"/>
      </w:pPr>
      <w:r>
        <w:t>2.2 Empirical Proof of the Data Leakage Mechanism</w:t>
      </w:r>
    </w:p>
    <w:p>
      <w:r>
        <w:t>To decisively prove the origin of the authors' published 0.937 F1-Score, I conducted a controlled experiment (results/tables/data_leakage_experiment.csv) comparing leak-free in-fold resampling against pre-split oversampling using identical Random Forest and MLP classifiers on the German Credit dataset: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Protocol Pipeline</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Resampling Strategy</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F1-Score</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Recall</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Accuracy</w:t>
            </w:r>
          </w:p>
        </w:tc>
        <w:tc>
          <w:tcPr>
            <w:tcW w:type="dxa" w:w="1560"/>
            <w:vAlign w:val="center"/>
            <w:tcMar>
              <w:top w:w="80" w:type="dxa"/>
              <w:bottom w:w="80" w:type="dxa"/>
              <w:left w:w="120" w:type="dxa"/>
              <w:right w:w="120" w:type="dxa"/>
            </w:tcMar>
            <w:shd w:fill="C00000"/>
          </w:tcPr>
          <w:p>
            <w:pPr>
              <w:jc w:val="center"/>
            </w:pPr>
            <w:r>
              <w:rPr>
                <w:rFonts w:ascii="Calibri" w:hAnsi="Calibri"/>
                <w:b/>
                <w:color w:val="FFFFFF"/>
                <w:sz w:val="19"/>
              </w:rPr>
              <w:t>Scientific Status</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In-Fold Resampling (My Baseline)</w:t>
            </w:r>
          </w:p>
        </w:tc>
        <w:tc>
          <w:tcPr>
            <w:tcW w:type="dxa" w:w="1560"/>
            <w:vAlign w:val="center"/>
            <w:tcMar>
              <w:top w:w="80" w:type="dxa"/>
              <w:bottom w:w="80" w:type="dxa"/>
              <w:left w:w="120" w:type="dxa"/>
              <w:right w:w="120" w:type="dxa"/>
            </w:tcMar>
            <w:shd w:fill="FFFFFF"/>
          </w:tcPr>
          <w:p>
            <w:r>
              <w:rPr>
                <w:rFonts w:ascii="Calibri" w:hAnsi="Calibri"/>
                <w:sz w:val="19"/>
              </w:rPr>
              <w:t>SMOTE-ENN inside CV folds</w:t>
            </w:r>
          </w:p>
        </w:tc>
        <w:tc>
          <w:tcPr>
            <w:tcW w:type="dxa" w:w="1560"/>
            <w:vAlign w:val="center"/>
            <w:tcMar>
              <w:top w:w="80" w:type="dxa"/>
              <w:bottom w:w="80" w:type="dxa"/>
              <w:left w:w="120" w:type="dxa"/>
              <w:right w:w="120" w:type="dxa"/>
            </w:tcMar>
            <w:shd w:fill="FFFFFF"/>
          </w:tcPr>
          <w:p>
            <w:r>
              <w:rPr>
                <w:rFonts w:ascii="Calibri" w:hAnsi="Calibri"/>
                <w:sz w:val="19"/>
              </w:rPr>
              <w:t>0.582</w:t>
            </w:r>
          </w:p>
        </w:tc>
        <w:tc>
          <w:tcPr>
            <w:tcW w:type="dxa" w:w="1560"/>
            <w:vAlign w:val="center"/>
            <w:tcMar>
              <w:top w:w="80" w:type="dxa"/>
              <w:bottom w:w="80" w:type="dxa"/>
              <w:left w:w="120" w:type="dxa"/>
              <w:right w:w="120" w:type="dxa"/>
            </w:tcMar>
            <w:shd w:fill="FFFFFF"/>
          </w:tcPr>
          <w:p>
            <w:r>
              <w:rPr>
                <w:rFonts w:ascii="Calibri" w:hAnsi="Calibri"/>
                <w:sz w:val="19"/>
              </w:rPr>
              <w:t>0.740</w:t>
            </w:r>
          </w:p>
        </w:tc>
        <w:tc>
          <w:tcPr>
            <w:tcW w:type="dxa" w:w="1560"/>
            <w:vAlign w:val="center"/>
            <w:tcMar>
              <w:top w:w="80" w:type="dxa"/>
              <w:bottom w:w="80" w:type="dxa"/>
              <w:left w:w="120" w:type="dxa"/>
              <w:right w:w="120" w:type="dxa"/>
            </w:tcMar>
            <w:shd w:fill="FFFFFF"/>
          </w:tcPr>
          <w:p>
            <w:r>
              <w:rPr>
                <w:rFonts w:ascii="Calibri" w:hAnsi="Calibri"/>
                <w:sz w:val="19"/>
              </w:rPr>
              <w:t>0.681</w:t>
            </w:r>
          </w:p>
        </w:tc>
        <w:tc>
          <w:tcPr>
            <w:tcW w:type="dxa" w:w="1560"/>
            <w:vAlign w:val="center"/>
            <w:tcMar>
              <w:top w:w="80" w:type="dxa"/>
              <w:bottom w:w="80" w:type="dxa"/>
              <w:left w:w="120" w:type="dxa"/>
              <w:right w:w="120" w:type="dxa"/>
            </w:tcMar>
            <w:shd w:fill="FFFFFF"/>
          </w:tcPr>
          <w:p>
            <w:r>
              <w:rPr>
                <w:rFonts w:ascii="Calibri" w:hAnsi="Calibri"/>
                <w:sz w:val="19"/>
              </w:rPr>
              <w:t>Valid &amp; Generalizable</w:t>
            </w:r>
          </w:p>
        </w:tc>
      </w:tr>
      <w:tr>
        <w:trPr>
          <w:cantSplit/>
        </w:trPr>
        <w:tc>
          <w:tcPr>
            <w:tcW w:type="dxa" w:w="1560"/>
            <w:vAlign w:val="center"/>
            <w:tcMar>
              <w:top w:w="80" w:type="dxa"/>
              <w:bottom w:w="80" w:type="dxa"/>
              <w:left w:w="120" w:type="dxa"/>
              <w:right w:w="120" w:type="dxa"/>
            </w:tcMar>
            <w:shd w:fill="FDF2F2"/>
          </w:tcPr>
          <w:p>
            <w:r>
              <w:rPr>
                <w:rFonts w:ascii="Calibri" w:hAnsi="Calibri"/>
                <w:sz w:val="19"/>
              </w:rPr>
              <w:t>Pre-Split Resampling (Authors' Flaw)</w:t>
            </w:r>
          </w:p>
        </w:tc>
        <w:tc>
          <w:tcPr>
            <w:tcW w:type="dxa" w:w="1560"/>
            <w:vAlign w:val="center"/>
            <w:tcMar>
              <w:top w:w="80" w:type="dxa"/>
              <w:bottom w:w="80" w:type="dxa"/>
              <w:left w:w="120" w:type="dxa"/>
              <w:right w:w="120" w:type="dxa"/>
            </w:tcMar>
            <w:shd w:fill="FDF2F2"/>
          </w:tcPr>
          <w:p>
            <w:r>
              <w:rPr>
                <w:rFonts w:ascii="Calibri" w:hAnsi="Calibri"/>
                <w:sz w:val="19"/>
              </w:rPr>
              <w:t>SMOTE-ENN before CV split</w:t>
            </w:r>
          </w:p>
        </w:tc>
        <w:tc>
          <w:tcPr>
            <w:tcW w:type="dxa" w:w="1560"/>
            <w:vAlign w:val="center"/>
            <w:tcMar>
              <w:top w:w="80" w:type="dxa"/>
              <w:bottom w:w="80" w:type="dxa"/>
              <w:left w:w="120" w:type="dxa"/>
              <w:right w:w="120" w:type="dxa"/>
            </w:tcMar>
            <w:shd w:fill="FDF2F2"/>
          </w:tcPr>
          <w:p>
            <w:r>
              <w:rPr>
                <w:rFonts w:ascii="Calibri" w:hAnsi="Calibri"/>
                <w:sz w:val="19"/>
              </w:rPr>
              <w:t>0.930</w:t>
            </w:r>
          </w:p>
        </w:tc>
        <w:tc>
          <w:tcPr>
            <w:tcW w:type="dxa" w:w="1560"/>
            <w:vAlign w:val="center"/>
            <w:tcMar>
              <w:top w:w="80" w:type="dxa"/>
              <w:bottom w:w="80" w:type="dxa"/>
              <w:left w:w="120" w:type="dxa"/>
              <w:right w:w="120" w:type="dxa"/>
            </w:tcMar>
            <w:shd w:fill="FDF2F2"/>
          </w:tcPr>
          <w:p>
            <w:r>
              <w:rPr>
                <w:rFonts w:ascii="Calibri" w:hAnsi="Calibri"/>
                <w:sz w:val="19"/>
              </w:rPr>
              <w:t>0.925</w:t>
            </w:r>
          </w:p>
        </w:tc>
        <w:tc>
          <w:tcPr>
            <w:tcW w:type="dxa" w:w="1560"/>
            <w:vAlign w:val="center"/>
            <w:tcMar>
              <w:top w:w="80" w:type="dxa"/>
              <w:bottom w:w="80" w:type="dxa"/>
              <w:left w:w="120" w:type="dxa"/>
              <w:right w:w="120" w:type="dxa"/>
            </w:tcMar>
            <w:shd w:fill="FDF2F2"/>
          </w:tcPr>
          <w:p>
            <w:r>
              <w:rPr>
                <w:rFonts w:ascii="Calibri" w:hAnsi="Calibri"/>
                <w:sz w:val="19"/>
              </w:rPr>
              <w:t>0.932</w:t>
            </w:r>
          </w:p>
        </w:tc>
        <w:tc>
          <w:tcPr>
            <w:tcW w:type="dxa" w:w="1560"/>
            <w:vAlign w:val="center"/>
            <w:tcMar>
              <w:top w:w="80" w:type="dxa"/>
              <w:bottom w:w="80" w:type="dxa"/>
              <w:left w:w="120" w:type="dxa"/>
              <w:right w:w="120" w:type="dxa"/>
            </w:tcMar>
            <w:shd w:fill="FDF2F2"/>
          </w:tcPr>
          <w:p>
            <w:r>
              <w:rPr>
                <w:rFonts w:ascii="Calibri" w:hAnsi="Calibri"/>
                <w:sz w:val="19"/>
              </w:rPr>
              <w:t>Invalid (Data Leaked)</w:t>
            </w:r>
          </w:p>
        </w:tc>
      </w:tr>
    </w:tbl>
    <w:p>
      <w:r>
        <w:t>When SMOTE-ENN was applied to all 1,000 rows prior to splitting, the resulting F1-Score jumped from 0.582 to 0.930, closely replicating the authors' published 0.937. This provides incontrovertible empirical proof that the paper's German credit findings were the product of methodological data leakage.</w:t>
      </w:r>
    </w:p>
    <w:p>
      <w:pPr>
        <w:pStyle w:val="Heading1"/>
      </w:pPr>
      <w:r>
        <w:rPr>
          <w:color w:val="1F4E79"/>
        </w:rPr>
        <w:t>Chapter 3: Deconstruction of My Enhanced Production Model</w:t>
      </w:r>
    </w:p>
    <w:p>
      <w:r>
        <w:t>To overcome all identified vulnerabilities, my Enhanced Production Model introduced a modularized, methodologically sound pipeline (src/enhanced_preprocessors.py, src/enhanced_pipelines.py) designed for enterprise banking deployment:</w:t>
      </w:r>
    </w:p>
    <w:p>
      <w:pPr>
        <w:pStyle w:val="Heading2"/>
      </w:pPr>
      <w:r>
        <w:t>3.1 Data Hygiene &amp; Schema Standardization</w:t>
      </w:r>
    </w:p>
    <w:p>
      <w:r>
        <w:t>1. Taiwan Duplicate Removal: Identified and purged 35 identical duplicate borrower records (Phase 1 Audit Section 3.3), shrinking raw records from 30,000 down to 29,965 distinct profiles to prevent cross-validation memorization.</w:t>
        <w:br/>
        <w:t>2. Schema Remapping: Collapsed undocumented education categories (0, 5, 6 -&gt; 4 = 'Others') and marriage category (0 -&gt; 3 = 'Others').</w:t>
        <w:br/>
        <w:t>3. Nomenclature Alignment: Renamed PAY_0 to PAY_1 to maintain strict sequence consistency across monthly repayment status attributes (PAY_1 to PAY_6).</w:t>
      </w:r>
    </w:p>
    <w:p>
      <w:pPr>
        <w:pStyle w:val="Heading2"/>
      </w:pPr>
      <w:r>
        <w:t>3.2 Monetary Skewness Correction: The SkewLog Transformation</w:t>
      </w:r>
    </w:p>
    <w:p>
      <w:r>
        <w:t>Monetary features in consumer credit exhibit extreme positive skewness and fat-tailed kurtosis. For instance, PAY_AMT1 exhibited raw skewness of 14.66 and kurtosis of 416.32, distorting distance-based algorithms. I implemented the signed log1p transformation:</w:t>
        <w:br/>
        <w:t>SkewLog(x) = sign(x) * ln(|x| + 1)</w:t>
        <w:br/>
        <w:t>As shown below, SkewLog compressed PAY_AMT1 skewness from 14.66 down to -1.30, and kurtosis down to 0.58, preserving monotonic ordering while stabilizing variance.</w:t>
      </w:r>
    </w:p>
    <w:p>
      <w:pPr>
        <w:spacing w:before="120"/>
      </w:pPr>
    </w:p>
    <w:p>
      <w:r>
        <w:drawing>
          <wp:inline xmlns:a="http://schemas.openxmlformats.org/drawingml/2006/main" xmlns:pic="http://schemas.openxmlformats.org/drawingml/2006/picture">
            <wp:extent cx="5486400" cy="2057400"/>
            <wp:docPr id="1" name="Picture 1"/>
            <wp:cNvGraphicFramePr>
              <a:graphicFrameLocks noChangeAspect="1"/>
            </wp:cNvGraphicFramePr>
            <a:graphic>
              <a:graphicData uri="http://schemas.openxmlformats.org/drawingml/2006/picture">
                <pic:pic>
                  <pic:nvPicPr>
                    <pic:cNvPr id="0" name="skewlog_bill_amt1.png"/>
                    <pic:cNvPicPr/>
                  </pic:nvPicPr>
                  <pic:blipFill>
                    <a:blip r:embed="rId11"/>
                    <a:stretch>
                      <a:fillRect/>
                    </a:stretch>
                  </pic:blipFill>
                  <pic:spPr>
                    <a:xfrm>
                      <a:off x="0" y="0"/>
                      <a:ext cx="5486400" cy="2057400"/>
                    </a:xfrm>
                    <a:prstGeom prst="rect"/>
                  </pic:spPr>
                </pic:pic>
              </a:graphicData>
            </a:graphic>
          </wp:inline>
        </w:drawing>
      </w:r>
    </w:p>
    <w:p>
      <w:pPr>
        <w:jc w:val="center"/>
      </w:pPr>
      <w:r>
        <w:rPr>
          <w:i/>
          <w:sz w:val="18"/>
        </w:rPr>
        <w:t>Figure 1: Distribution of BILL_AMT1 before and after signed SkewLog transformation, stabilizing monetary variance.</w:t>
      </w:r>
    </w:p>
    <w:p>
      <w:pPr>
        <w:pStyle w:val="Heading2"/>
      </w:pPr>
      <w:r>
        <w:t>3.3 Categorical-Aware SMOTE-NC</w:t>
      </w:r>
    </w:p>
    <w:p>
      <w:r>
        <w:t>Unlike standard SMOTE which interpolates linearly across encoded integers, SMOTE-NC evaluates distance using the Value Difference Metric (VDM) across nominal features and Euclidean distance strictly on continuous dimensions. This guaranteed that 100% of generated synthetic records preserved valid discrete categories, eliminating fractional artifacts entirely.</w:t>
      </w:r>
    </w:p>
    <w:p>
      <w:pPr>
        <w:pStyle w:val="Heading2"/>
      </w:pPr>
      <w:r>
        <w:t>3.4 Cost-Sensitive In-Fold Threshold Optimization</w:t>
      </w:r>
    </w:p>
    <w:p>
      <w:r>
        <w:t>In commercial credit underwriting, false negatives (granting credit to a defaulting borrower) carry substantially higher financial loss than false positives (rejecting a solvent applicant). In German credit, this asymmetry is formally structured as a 5:1 commercial cost ratio:</w:t>
        <w:br/>
        <w:t>Total Commercial Financial Loss = 5 * FN + 1 * FP</w:t>
        <w:br/>
        <w:t>My enhanced model optimizes the decision threshold p* inside each training fold:</w:t>
        <w:br/>
        <w:t>• German Credit: Optimal threshold p* = 0.31 minimized financial cost, lifting Default Recall to 89.7% and reducing financial loss from 118 down to 53.2 (55.0% savings).</w:t>
        <w:br/>
        <w:t>• Taiwan Credit: Imbalanced class distribution (22.1% defaults) was tuned for Matthews Correlation Coefficient (MCC) at p* = 0.58, boosting Specificity to 89.6% and cutting default loss by 33.0%.</w:t>
      </w:r>
    </w:p>
    <w:p>
      <w:pPr>
        <w:spacing w:before="120"/>
      </w:pP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threshold_curves_german.png"/>
                    <pic:cNvPicPr/>
                  </pic:nvPicPr>
                  <pic:blipFill>
                    <a:blip r:embed="rId12"/>
                    <a:stretch>
                      <a:fillRect/>
                    </a:stretch>
                  </pic:blipFill>
                  <pic:spPr>
                    <a:xfrm>
                      <a:off x="0" y="0"/>
                      <a:ext cx="5303520" cy="2946400"/>
                    </a:xfrm>
                    <a:prstGeom prst="rect"/>
                  </pic:spPr>
                </pic:pic>
              </a:graphicData>
            </a:graphic>
          </wp:inline>
        </w:drawing>
      </w:r>
    </w:p>
    <w:p>
      <w:pPr>
        <w:jc w:val="center"/>
      </w:pPr>
      <w:r>
        <w:rPr>
          <w:i/>
          <w:sz w:val="18"/>
        </w:rPr>
        <w:t>Figure 2: German Credit decision threshold optimization landscape showing total financial loss reduction under 5:1 cost matrix.</w:t>
      </w:r>
    </w:p>
    <w:p>
      <w:pPr>
        <w:pStyle w:val="Heading1"/>
      </w:pPr>
      <w:r>
        <w:rPr>
          <w:color w:val="1F4E79"/>
        </w:rPr>
        <w:t>Chapter 4: The Definitive Three-Way Comparative Benchmark</w:t>
      </w:r>
    </w:p>
    <w:p>
      <w:r>
        <w:t>The definitive comparison across the three research states is synthesized in Table 1 below, consolidating published metrics, baseline reproduction, and the enhanced production model:</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rPr>
          <w:cantSplit/>
          <w:tblHeader/>
        </w:trPr>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Dataset</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Pipeline State</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Model</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Optimization Strategy</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Accuracy</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Recall</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F1-Score</w:t>
            </w:r>
          </w:p>
        </w:tc>
        <w:tc>
          <w:tcPr>
            <w:tcW w:type="dxa" w:w="1170"/>
            <w:vAlign w:val="center"/>
            <w:tcMar>
              <w:top w:w="80" w:type="dxa"/>
              <w:bottom w:w="80" w:type="dxa"/>
              <w:left w:w="120" w:type="dxa"/>
              <w:right w:w="120" w:type="dxa"/>
            </w:tcMar>
            <w:shd w:fill="1F4E79"/>
          </w:tcPr>
          <w:p>
            <w:pPr>
              <w:jc w:val="center"/>
            </w:pPr>
            <w:r>
              <w:rPr>
                <w:rFonts w:ascii="Calibri" w:hAnsi="Calibri"/>
                <w:b/>
                <w:color w:val="FFFFFF"/>
                <w:sz w:val="19"/>
              </w:rPr>
              <w:t>Financial Loss</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German</w:t>
            </w:r>
          </w:p>
        </w:tc>
        <w:tc>
          <w:tcPr>
            <w:tcW w:type="dxa" w:w="1170"/>
            <w:vAlign w:val="center"/>
            <w:tcMar>
              <w:top w:w="80" w:type="dxa"/>
              <w:bottom w:w="80" w:type="dxa"/>
              <w:left w:w="120" w:type="dxa"/>
              <w:right w:w="120" w:type="dxa"/>
            </w:tcMar>
            <w:shd w:fill="FFFFFF"/>
          </w:tcPr>
          <w:p>
            <w:r>
              <w:rPr>
                <w:rFonts w:ascii="Calibri" w:hAnsi="Calibri"/>
                <w:sz w:val="19"/>
              </w:rPr>
              <w:t>1. Authors' Published</w:t>
            </w:r>
          </w:p>
        </w:tc>
        <w:tc>
          <w:tcPr>
            <w:tcW w:type="dxa" w:w="1170"/>
            <w:vAlign w:val="center"/>
            <w:tcMar>
              <w:top w:w="80" w:type="dxa"/>
              <w:bottom w:w="80" w:type="dxa"/>
              <w:left w:w="120" w:type="dxa"/>
              <w:right w:w="120" w:type="dxa"/>
            </w:tcMar>
            <w:shd w:fill="FFFFFF"/>
          </w:tcPr>
          <w:p>
            <w:r>
              <w:rPr>
                <w:rFonts w:ascii="Calibri" w:hAnsi="Calibri"/>
                <w:sz w:val="19"/>
              </w:rPr>
              <w:t>MLP</w:t>
            </w:r>
          </w:p>
        </w:tc>
        <w:tc>
          <w:tcPr>
            <w:tcW w:type="dxa" w:w="1170"/>
            <w:vAlign w:val="center"/>
            <w:tcMar>
              <w:top w:w="80" w:type="dxa"/>
              <w:bottom w:w="80" w:type="dxa"/>
              <w:left w:w="120" w:type="dxa"/>
              <w:right w:w="120" w:type="dxa"/>
            </w:tcMar>
            <w:shd w:fill="FFFFFF"/>
          </w:tcPr>
          <w:p>
            <w:r>
              <w:rPr>
                <w:rFonts w:ascii="Calibri" w:hAnsi="Calibri"/>
                <w:sz w:val="19"/>
              </w:rPr>
              <w:t>SMOTE-ENN (Pre-Split Leaked)</w:t>
            </w:r>
          </w:p>
        </w:tc>
        <w:tc>
          <w:tcPr>
            <w:tcW w:type="dxa" w:w="1170"/>
            <w:vAlign w:val="center"/>
            <w:tcMar>
              <w:top w:w="80" w:type="dxa"/>
              <w:bottom w:w="80" w:type="dxa"/>
              <w:left w:w="120" w:type="dxa"/>
              <w:right w:w="120" w:type="dxa"/>
            </w:tcMar>
            <w:shd w:fill="FFFFFF"/>
          </w:tcPr>
          <w:p>
            <w:r>
              <w:rPr>
                <w:rFonts w:ascii="Calibri" w:hAnsi="Calibri"/>
                <w:sz w:val="19"/>
              </w:rPr>
              <w:t>0.954</w:t>
            </w:r>
          </w:p>
        </w:tc>
        <w:tc>
          <w:tcPr>
            <w:tcW w:type="dxa" w:w="1170"/>
            <w:vAlign w:val="center"/>
            <w:tcMar>
              <w:top w:w="80" w:type="dxa"/>
              <w:bottom w:w="80" w:type="dxa"/>
              <w:left w:w="120" w:type="dxa"/>
              <w:right w:w="120" w:type="dxa"/>
            </w:tcMar>
            <w:shd w:fill="FFFFFF"/>
          </w:tcPr>
          <w:p>
            <w:r>
              <w:rPr>
                <w:rFonts w:ascii="Calibri" w:hAnsi="Calibri"/>
                <w:sz w:val="19"/>
              </w:rPr>
              <w:t>0.929</w:t>
            </w:r>
          </w:p>
        </w:tc>
        <w:tc>
          <w:tcPr>
            <w:tcW w:type="dxa" w:w="1170"/>
            <w:vAlign w:val="center"/>
            <w:tcMar>
              <w:top w:w="80" w:type="dxa"/>
              <w:bottom w:w="80" w:type="dxa"/>
              <w:left w:w="120" w:type="dxa"/>
              <w:right w:w="120" w:type="dxa"/>
            </w:tcMar>
            <w:shd w:fill="FFFFFF"/>
          </w:tcPr>
          <w:p>
            <w:r>
              <w:rPr>
                <w:rFonts w:ascii="Calibri" w:hAnsi="Calibri"/>
                <w:sz w:val="19"/>
              </w:rPr>
              <w:t>0.937*</w:t>
            </w:r>
          </w:p>
        </w:tc>
        <w:tc>
          <w:tcPr>
            <w:tcW w:type="dxa" w:w="1170"/>
            <w:vAlign w:val="center"/>
            <w:tcMar>
              <w:top w:w="80" w:type="dxa"/>
              <w:bottom w:w="80" w:type="dxa"/>
              <w:left w:w="120" w:type="dxa"/>
              <w:right w:w="120" w:type="dxa"/>
            </w:tcMar>
            <w:shd w:fill="FFFFFF"/>
          </w:tcPr>
          <w:p>
            <w:r>
              <w:rPr>
                <w:rFonts w:ascii="Calibri" w:hAnsi="Calibri"/>
                <w:sz w:val="19"/>
              </w:rPr>
              <w:t>Unreported</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German</w:t>
            </w:r>
          </w:p>
        </w:tc>
        <w:tc>
          <w:tcPr>
            <w:tcW w:type="dxa" w:w="1170"/>
            <w:vAlign w:val="center"/>
            <w:tcMar>
              <w:top w:w="80" w:type="dxa"/>
              <w:bottom w:w="80" w:type="dxa"/>
              <w:left w:w="120" w:type="dxa"/>
              <w:right w:w="120" w:type="dxa"/>
            </w:tcMar>
            <w:shd w:fill="F2F5F9"/>
          </w:tcPr>
          <w:p>
            <w:r>
              <w:rPr>
                <w:rFonts w:ascii="Calibri" w:hAnsi="Calibri"/>
                <w:sz w:val="19"/>
              </w:rPr>
              <w:t>2. Baseline Reproduction</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SMOTE-ENN (Leak-Free Alg 1)</w:t>
            </w:r>
          </w:p>
        </w:tc>
        <w:tc>
          <w:tcPr>
            <w:tcW w:type="dxa" w:w="1170"/>
            <w:vAlign w:val="center"/>
            <w:tcMar>
              <w:top w:w="80" w:type="dxa"/>
              <w:bottom w:w="80" w:type="dxa"/>
              <w:left w:w="120" w:type="dxa"/>
              <w:right w:w="120" w:type="dxa"/>
            </w:tcMar>
            <w:shd w:fill="F2F5F9"/>
          </w:tcPr>
          <w:p>
            <w:r>
              <w:rPr>
                <w:rFonts w:ascii="Calibri" w:hAnsi="Calibri"/>
                <w:sz w:val="19"/>
              </w:rPr>
              <w:t>0.681</w:t>
            </w:r>
          </w:p>
        </w:tc>
        <w:tc>
          <w:tcPr>
            <w:tcW w:type="dxa" w:w="1170"/>
            <w:vAlign w:val="center"/>
            <w:tcMar>
              <w:top w:w="80" w:type="dxa"/>
              <w:bottom w:w="80" w:type="dxa"/>
              <w:left w:w="120" w:type="dxa"/>
              <w:right w:w="120" w:type="dxa"/>
            </w:tcMar>
            <w:shd w:fill="F2F5F9"/>
          </w:tcPr>
          <w:p>
            <w:r>
              <w:rPr>
                <w:rFonts w:ascii="Calibri" w:hAnsi="Calibri"/>
                <w:sz w:val="19"/>
              </w:rPr>
              <w:t>0.740</w:t>
            </w:r>
          </w:p>
        </w:tc>
        <w:tc>
          <w:tcPr>
            <w:tcW w:type="dxa" w:w="1170"/>
            <w:vAlign w:val="center"/>
            <w:tcMar>
              <w:top w:w="80" w:type="dxa"/>
              <w:bottom w:w="80" w:type="dxa"/>
              <w:left w:w="120" w:type="dxa"/>
              <w:right w:w="120" w:type="dxa"/>
            </w:tcMar>
            <w:shd w:fill="F2F5F9"/>
          </w:tcPr>
          <w:p>
            <w:r>
              <w:rPr>
                <w:rFonts w:ascii="Calibri" w:hAnsi="Calibri"/>
                <w:sz w:val="19"/>
              </w:rPr>
              <w:t>0.582</w:t>
            </w:r>
          </w:p>
        </w:tc>
        <w:tc>
          <w:tcPr>
            <w:tcW w:type="dxa" w:w="1170"/>
            <w:vAlign w:val="center"/>
            <w:tcMar>
              <w:top w:w="80" w:type="dxa"/>
              <w:bottom w:w="80" w:type="dxa"/>
              <w:left w:w="120" w:type="dxa"/>
              <w:right w:w="120" w:type="dxa"/>
            </w:tcMar>
            <w:shd w:fill="F2F5F9"/>
          </w:tcPr>
          <w:p>
            <w:r>
              <w:rPr>
                <w:rFonts w:ascii="Calibri" w:hAnsi="Calibri"/>
                <w:sz w:val="19"/>
              </w:rPr>
              <w:t>118.0</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German</w:t>
            </w:r>
          </w:p>
        </w:tc>
        <w:tc>
          <w:tcPr>
            <w:tcW w:type="dxa" w:w="1170"/>
            <w:vAlign w:val="center"/>
            <w:tcMar>
              <w:top w:w="80" w:type="dxa"/>
              <w:bottom w:w="80" w:type="dxa"/>
              <w:left w:w="120" w:type="dxa"/>
              <w:right w:w="120" w:type="dxa"/>
            </w:tcMar>
            <w:shd w:fill="FFFFFF"/>
          </w:tcPr>
          <w:p>
            <w:r>
              <w:rPr>
                <w:rFonts w:ascii="Calibri" w:hAnsi="Calibri"/>
                <w:sz w:val="19"/>
              </w:rPr>
              <w:t>3. Enhanced Model</w:t>
            </w:r>
          </w:p>
        </w:tc>
        <w:tc>
          <w:tcPr>
            <w:tcW w:type="dxa" w:w="1170"/>
            <w:vAlign w:val="center"/>
            <w:tcMar>
              <w:top w:w="80" w:type="dxa"/>
              <w:bottom w:w="80" w:type="dxa"/>
              <w:left w:w="120" w:type="dxa"/>
              <w:right w:w="120" w:type="dxa"/>
            </w:tcMar>
            <w:shd w:fill="FFFFFF"/>
          </w:tcPr>
          <w:p>
            <w:r>
              <w:rPr>
                <w:rFonts w:ascii="Calibri" w:hAnsi="Calibri"/>
                <w:sz w:val="19"/>
              </w:rPr>
              <w:t>Random Forest</w:t>
            </w:r>
          </w:p>
        </w:tc>
        <w:tc>
          <w:tcPr>
            <w:tcW w:type="dxa" w:w="1170"/>
            <w:vAlign w:val="center"/>
            <w:tcMar>
              <w:top w:w="80" w:type="dxa"/>
              <w:bottom w:w="80" w:type="dxa"/>
              <w:left w:w="120" w:type="dxa"/>
              <w:right w:w="120" w:type="dxa"/>
            </w:tcMar>
            <w:shd w:fill="FFFFFF"/>
          </w:tcPr>
          <w:p>
            <w:r>
              <w:rPr>
                <w:rFonts w:ascii="Calibri" w:hAnsi="Calibri"/>
                <w:sz w:val="19"/>
              </w:rPr>
              <w:t>Cost-Weighted + p*=0.31</w:t>
            </w:r>
          </w:p>
        </w:tc>
        <w:tc>
          <w:tcPr>
            <w:tcW w:type="dxa" w:w="1170"/>
            <w:vAlign w:val="center"/>
            <w:tcMar>
              <w:top w:w="80" w:type="dxa"/>
              <w:bottom w:w="80" w:type="dxa"/>
              <w:left w:w="120" w:type="dxa"/>
              <w:right w:w="120" w:type="dxa"/>
            </w:tcMar>
            <w:shd w:fill="FFFFFF"/>
          </w:tcPr>
          <w:p>
            <w:r>
              <w:rPr>
                <w:rFonts w:ascii="Calibri" w:hAnsi="Calibri"/>
                <w:sz w:val="19"/>
              </w:rPr>
              <w:t>0.592</w:t>
            </w:r>
          </w:p>
        </w:tc>
        <w:tc>
          <w:tcPr>
            <w:tcW w:type="dxa" w:w="1170"/>
            <w:vAlign w:val="center"/>
            <w:tcMar>
              <w:top w:w="80" w:type="dxa"/>
              <w:bottom w:w="80" w:type="dxa"/>
              <w:left w:w="120" w:type="dxa"/>
              <w:right w:w="120" w:type="dxa"/>
            </w:tcMar>
            <w:shd w:fill="FFFFFF"/>
          </w:tcPr>
          <w:p>
            <w:r>
              <w:rPr>
                <w:rFonts w:ascii="Calibri" w:hAnsi="Calibri"/>
                <w:sz w:val="19"/>
              </w:rPr>
              <w:t>0.897</w:t>
            </w:r>
          </w:p>
        </w:tc>
        <w:tc>
          <w:tcPr>
            <w:tcW w:type="dxa" w:w="1170"/>
            <w:vAlign w:val="center"/>
            <w:tcMar>
              <w:top w:w="80" w:type="dxa"/>
              <w:bottom w:w="80" w:type="dxa"/>
              <w:left w:w="120" w:type="dxa"/>
              <w:right w:w="120" w:type="dxa"/>
            </w:tcMar>
            <w:shd w:fill="FFFFFF"/>
          </w:tcPr>
          <w:p>
            <w:r>
              <w:rPr>
                <w:rFonts w:ascii="Calibri" w:hAnsi="Calibri"/>
                <w:sz w:val="19"/>
              </w:rPr>
              <w:t>0.574</w:t>
            </w:r>
          </w:p>
        </w:tc>
        <w:tc>
          <w:tcPr>
            <w:tcW w:type="dxa" w:w="1170"/>
            <w:vAlign w:val="center"/>
            <w:tcMar>
              <w:top w:w="80" w:type="dxa"/>
              <w:bottom w:w="80" w:type="dxa"/>
              <w:left w:w="120" w:type="dxa"/>
              <w:right w:w="120" w:type="dxa"/>
            </w:tcMar>
            <w:shd w:fill="FFFFFF"/>
          </w:tcPr>
          <w:p>
            <w:r>
              <w:rPr>
                <w:rFonts w:ascii="Calibri" w:hAnsi="Calibri"/>
                <w:sz w:val="19"/>
              </w:rPr>
              <w:t>53.2 (55% Save)</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Taiwan</w:t>
            </w:r>
          </w:p>
        </w:tc>
        <w:tc>
          <w:tcPr>
            <w:tcW w:type="dxa" w:w="1170"/>
            <w:vAlign w:val="center"/>
            <w:tcMar>
              <w:top w:w="80" w:type="dxa"/>
              <w:bottom w:w="80" w:type="dxa"/>
              <w:left w:w="120" w:type="dxa"/>
              <w:right w:w="120" w:type="dxa"/>
            </w:tcMar>
            <w:shd w:fill="F2F5F9"/>
          </w:tcPr>
          <w:p>
            <w:r>
              <w:rPr>
                <w:rFonts w:ascii="Calibri" w:hAnsi="Calibri"/>
                <w:sz w:val="19"/>
              </w:rPr>
              <w:t>1. Authors' Published</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SMOTE-ENN (Euclidean)</w:t>
            </w:r>
          </w:p>
        </w:tc>
        <w:tc>
          <w:tcPr>
            <w:tcW w:type="dxa" w:w="1170"/>
            <w:vAlign w:val="center"/>
            <w:tcMar>
              <w:top w:w="80" w:type="dxa"/>
              <w:bottom w:w="80" w:type="dxa"/>
              <w:left w:w="120" w:type="dxa"/>
              <w:right w:w="120" w:type="dxa"/>
            </w:tcMar>
            <w:shd w:fill="F2F5F9"/>
          </w:tcPr>
          <w:p>
            <w:r>
              <w:rPr>
                <w:rFonts w:ascii="Calibri" w:hAnsi="Calibri"/>
                <w:sz w:val="19"/>
              </w:rPr>
              <w:t>0.821</w:t>
            </w:r>
          </w:p>
        </w:tc>
        <w:tc>
          <w:tcPr>
            <w:tcW w:type="dxa" w:w="1170"/>
            <w:vAlign w:val="center"/>
            <w:tcMar>
              <w:top w:w="80" w:type="dxa"/>
              <w:bottom w:w="80" w:type="dxa"/>
              <w:left w:w="120" w:type="dxa"/>
              <w:right w:w="120" w:type="dxa"/>
            </w:tcMar>
            <w:shd w:fill="F2F5F9"/>
          </w:tcPr>
          <w:p>
            <w:r>
              <w:rPr>
                <w:rFonts w:ascii="Calibri" w:hAnsi="Calibri"/>
                <w:sz w:val="19"/>
              </w:rPr>
              <w:t>0.745</w:t>
            </w:r>
          </w:p>
        </w:tc>
        <w:tc>
          <w:tcPr>
            <w:tcW w:type="dxa" w:w="1170"/>
            <w:vAlign w:val="center"/>
            <w:tcMar>
              <w:top w:w="80" w:type="dxa"/>
              <w:bottom w:w="80" w:type="dxa"/>
              <w:left w:w="120" w:type="dxa"/>
              <w:right w:w="120" w:type="dxa"/>
            </w:tcMar>
            <w:shd w:fill="F2F5F9"/>
          </w:tcPr>
          <w:p>
            <w:r>
              <w:rPr>
                <w:rFonts w:ascii="Calibri" w:hAnsi="Calibri"/>
                <w:sz w:val="19"/>
              </w:rPr>
              <w:t>0.610</w:t>
            </w:r>
          </w:p>
        </w:tc>
        <w:tc>
          <w:tcPr>
            <w:tcW w:type="dxa" w:w="1170"/>
            <w:vAlign w:val="center"/>
            <w:tcMar>
              <w:top w:w="80" w:type="dxa"/>
              <w:bottom w:w="80" w:type="dxa"/>
              <w:left w:w="120" w:type="dxa"/>
              <w:right w:w="120" w:type="dxa"/>
            </w:tcMar>
            <w:shd w:fill="F2F5F9"/>
          </w:tcPr>
          <w:p>
            <w:r>
              <w:rPr>
                <w:rFonts w:ascii="Calibri" w:hAnsi="Calibri"/>
                <w:sz w:val="19"/>
              </w:rPr>
              <w:t>Unreported</w:t>
            </w:r>
          </w:p>
        </w:tc>
      </w:tr>
      <w:tr>
        <w:trPr>
          <w:cantSplit/>
        </w:trPr>
        <w:tc>
          <w:tcPr>
            <w:tcW w:type="dxa" w:w="1170"/>
            <w:vAlign w:val="center"/>
            <w:tcMar>
              <w:top w:w="80" w:type="dxa"/>
              <w:bottom w:w="80" w:type="dxa"/>
              <w:left w:w="120" w:type="dxa"/>
              <w:right w:w="120" w:type="dxa"/>
            </w:tcMar>
            <w:shd w:fill="FFFFFF"/>
          </w:tcPr>
          <w:p>
            <w:r>
              <w:rPr>
                <w:rFonts w:ascii="Calibri" w:hAnsi="Calibri"/>
                <w:sz w:val="19"/>
              </w:rPr>
              <w:t>Taiwan</w:t>
            </w:r>
          </w:p>
        </w:tc>
        <w:tc>
          <w:tcPr>
            <w:tcW w:type="dxa" w:w="1170"/>
            <w:vAlign w:val="center"/>
            <w:tcMar>
              <w:top w:w="80" w:type="dxa"/>
              <w:bottom w:w="80" w:type="dxa"/>
              <w:left w:w="120" w:type="dxa"/>
              <w:right w:w="120" w:type="dxa"/>
            </w:tcMar>
            <w:shd w:fill="FFFFFF"/>
          </w:tcPr>
          <w:p>
            <w:r>
              <w:rPr>
                <w:rFonts w:ascii="Calibri" w:hAnsi="Calibri"/>
                <w:sz w:val="19"/>
              </w:rPr>
              <w:t>2. Baseline Reproduction</w:t>
            </w:r>
          </w:p>
        </w:tc>
        <w:tc>
          <w:tcPr>
            <w:tcW w:type="dxa" w:w="1170"/>
            <w:vAlign w:val="center"/>
            <w:tcMar>
              <w:top w:w="80" w:type="dxa"/>
              <w:bottom w:w="80" w:type="dxa"/>
              <w:left w:w="120" w:type="dxa"/>
              <w:right w:w="120" w:type="dxa"/>
            </w:tcMar>
            <w:shd w:fill="FFFFFF"/>
          </w:tcPr>
          <w:p>
            <w:r>
              <w:rPr>
                <w:rFonts w:ascii="Calibri" w:hAnsi="Calibri"/>
                <w:sz w:val="19"/>
              </w:rPr>
              <w:t>Random Forest</w:t>
            </w:r>
          </w:p>
        </w:tc>
        <w:tc>
          <w:tcPr>
            <w:tcW w:type="dxa" w:w="1170"/>
            <w:vAlign w:val="center"/>
            <w:tcMar>
              <w:top w:w="80" w:type="dxa"/>
              <w:bottom w:w="80" w:type="dxa"/>
              <w:left w:w="120" w:type="dxa"/>
              <w:right w:w="120" w:type="dxa"/>
            </w:tcMar>
            <w:shd w:fill="FFFFFF"/>
          </w:tcPr>
          <w:p>
            <w:r>
              <w:rPr>
                <w:rFonts w:ascii="Calibri" w:hAnsi="Calibri"/>
                <w:sz w:val="19"/>
              </w:rPr>
              <w:t>SMOTE-ENN (Full 30k Rows)</w:t>
            </w:r>
          </w:p>
        </w:tc>
        <w:tc>
          <w:tcPr>
            <w:tcW w:type="dxa" w:w="1170"/>
            <w:vAlign w:val="center"/>
            <w:tcMar>
              <w:top w:w="80" w:type="dxa"/>
              <w:bottom w:w="80" w:type="dxa"/>
              <w:left w:w="120" w:type="dxa"/>
              <w:right w:w="120" w:type="dxa"/>
            </w:tcMar>
            <w:shd w:fill="FFFFFF"/>
          </w:tcPr>
          <w:p>
            <w:r>
              <w:rPr>
                <w:rFonts w:ascii="Calibri" w:hAnsi="Calibri"/>
                <w:sz w:val="19"/>
              </w:rPr>
              <w:t>0.758</w:t>
            </w:r>
          </w:p>
        </w:tc>
        <w:tc>
          <w:tcPr>
            <w:tcW w:type="dxa" w:w="1170"/>
            <w:vAlign w:val="center"/>
            <w:tcMar>
              <w:top w:w="80" w:type="dxa"/>
              <w:bottom w:w="80" w:type="dxa"/>
              <w:left w:w="120" w:type="dxa"/>
              <w:right w:w="120" w:type="dxa"/>
            </w:tcMar>
            <w:shd w:fill="FFFFFF"/>
          </w:tcPr>
          <w:p>
            <w:r>
              <w:rPr>
                <w:rFonts w:ascii="Calibri" w:hAnsi="Calibri"/>
                <w:sz w:val="19"/>
              </w:rPr>
              <w:t>0.613</w:t>
            </w:r>
          </w:p>
        </w:tc>
        <w:tc>
          <w:tcPr>
            <w:tcW w:type="dxa" w:w="1170"/>
            <w:vAlign w:val="center"/>
            <w:tcMar>
              <w:top w:w="80" w:type="dxa"/>
              <w:bottom w:w="80" w:type="dxa"/>
              <w:left w:w="120" w:type="dxa"/>
              <w:right w:w="120" w:type="dxa"/>
            </w:tcMar>
            <w:shd w:fill="FFFFFF"/>
          </w:tcPr>
          <w:p>
            <w:r>
              <w:rPr>
                <w:rFonts w:ascii="Calibri" w:hAnsi="Calibri"/>
                <w:sz w:val="19"/>
              </w:rPr>
              <w:t>0.528</w:t>
            </w:r>
          </w:p>
        </w:tc>
        <w:tc>
          <w:tcPr>
            <w:tcW w:type="dxa" w:w="1170"/>
            <w:vAlign w:val="center"/>
            <w:tcMar>
              <w:top w:w="80" w:type="dxa"/>
              <w:bottom w:w="80" w:type="dxa"/>
              <w:left w:w="120" w:type="dxa"/>
              <w:right w:w="120" w:type="dxa"/>
            </w:tcMar>
            <w:shd w:fill="FFFFFF"/>
          </w:tcPr>
          <w:p>
            <w:r>
              <w:rPr>
                <w:rFonts w:ascii="Calibri" w:hAnsi="Calibri"/>
                <w:sz w:val="19"/>
              </w:rPr>
              <w:t>2,840.0</w:t>
            </w:r>
          </w:p>
        </w:tc>
      </w:tr>
      <w:tr>
        <w:trPr>
          <w:cantSplit/>
        </w:trPr>
        <w:tc>
          <w:tcPr>
            <w:tcW w:type="dxa" w:w="1170"/>
            <w:vAlign w:val="center"/>
            <w:tcMar>
              <w:top w:w="80" w:type="dxa"/>
              <w:bottom w:w="80" w:type="dxa"/>
              <w:left w:w="120" w:type="dxa"/>
              <w:right w:w="120" w:type="dxa"/>
            </w:tcMar>
            <w:shd w:fill="F2F5F9"/>
          </w:tcPr>
          <w:p>
            <w:r>
              <w:rPr>
                <w:rFonts w:ascii="Calibri" w:hAnsi="Calibri"/>
                <w:sz w:val="19"/>
              </w:rPr>
              <w:t>Taiwan</w:t>
            </w:r>
          </w:p>
        </w:tc>
        <w:tc>
          <w:tcPr>
            <w:tcW w:type="dxa" w:w="1170"/>
            <w:vAlign w:val="center"/>
            <w:tcMar>
              <w:top w:w="80" w:type="dxa"/>
              <w:bottom w:w="80" w:type="dxa"/>
              <w:left w:w="120" w:type="dxa"/>
              <w:right w:w="120" w:type="dxa"/>
            </w:tcMar>
            <w:shd w:fill="F2F5F9"/>
          </w:tcPr>
          <w:p>
            <w:r>
              <w:rPr>
                <w:rFonts w:ascii="Calibri" w:hAnsi="Calibri"/>
                <w:sz w:val="19"/>
              </w:rPr>
              <w:t>3. Enhanced Model</w:t>
            </w:r>
          </w:p>
        </w:tc>
        <w:tc>
          <w:tcPr>
            <w:tcW w:type="dxa" w:w="1170"/>
            <w:vAlign w:val="center"/>
            <w:tcMar>
              <w:top w:w="80" w:type="dxa"/>
              <w:bottom w:w="80" w:type="dxa"/>
              <w:left w:w="120" w:type="dxa"/>
              <w:right w:w="120" w:type="dxa"/>
            </w:tcMar>
            <w:shd w:fill="F2F5F9"/>
          </w:tcPr>
          <w:p>
            <w:r>
              <w:rPr>
                <w:rFonts w:ascii="Calibri" w:hAnsi="Calibri"/>
                <w:sz w:val="19"/>
              </w:rPr>
              <w:t>Random Forest</w:t>
            </w:r>
          </w:p>
        </w:tc>
        <w:tc>
          <w:tcPr>
            <w:tcW w:type="dxa" w:w="1170"/>
            <w:vAlign w:val="center"/>
            <w:tcMar>
              <w:top w:w="80" w:type="dxa"/>
              <w:bottom w:w="80" w:type="dxa"/>
              <w:left w:w="120" w:type="dxa"/>
              <w:right w:w="120" w:type="dxa"/>
            </w:tcMar>
            <w:shd w:fill="F2F5F9"/>
          </w:tcPr>
          <w:p>
            <w:r>
              <w:rPr>
                <w:rFonts w:ascii="Calibri" w:hAnsi="Calibri"/>
                <w:sz w:val="19"/>
              </w:rPr>
              <w:t>SkewLog + MCC-Tuned (p*=0.58)</w:t>
            </w:r>
          </w:p>
        </w:tc>
        <w:tc>
          <w:tcPr>
            <w:tcW w:type="dxa" w:w="1170"/>
            <w:vAlign w:val="center"/>
            <w:tcMar>
              <w:top w:w="80" w:type="dxa"/>
              <w:bottom w:w="80" w:type="dxa"/>
              <w:left w:w="120" w:type="dxa"/>
              <w:right w:w="120" w:type="dxa"/>
            </w:tcMar>
            <w:shd w:fill="F2F5F9"/>
          </w:tcPr>
          <w:p>
            <w:r>
              <w:rPr>
                <w:rFonts w:ascii="Calibri" w:hAnsi="Calibri"/>
                <w:sz w:val="19"/>
              </w:rPr>
              <w:t>0.808</w:t>
            </w:r>
          </w:p>
        </w:tc>
        <w:tc>
          <w:tcPr>
            <w:tcW w:type="dxa" w:w="1170"/>
            <w:vAlign w:val="center"/>
            <w:tcMar>
              <w:top w:w="80" w:type="dxa"/>
              <w:bottom w:w="80" w:type="dxa"/>
              <w:left w:w="120" w:type="dxa"/>
              <w:right w:w="120" w:type="dxa"/>
            </w:tcMar>
            <w:shd w:fill="F2F5F9"/>
          </w:tcPr>
          <w:p>
            <w:r>
              <w:rPr>
                <w:rFonts w:ascii="Calibri" w:hAnsi="Calibri"/>
                <w:sz w:val="19"/>
              </w:rPr>
              <w:t>0.498</w:t>
            </w:r>
          </w:p>
        </w:tc>
        <w:tc>
          <w:tcPr>
            <w:tcW w:type="dxa" w:w="1170"/>
            <w:vAlign w:val="center"/>
            <w:tcMar>
              <w:top w:w="80" w:type="dxa"/>
              <w:bottom w:w="80" w:type="dxa"/>
              <w:left w:w="120" w:type="dxa"/>
              <w:right w:w="120" w:type="dxa"/>
            </w:tcMar>
            <w:shd w:fill="F2F5F9"/>
          </w:tcPr>
          <w:p>
            <w:r>
              <w:rPr>
                <w:rFonts w:ascii="Calibri" w:hAnsi="Calibri"/>
                <w:sz w:val="19"/>
              </w:rPr>
              <w:t>0.533</w:t>
            </w:r>
          </w:p>
        </w:tc>
        <w:tc>
          <w:tcPr>
            <w:tcW w:type="dxa" w:w="1170"/>
            <w:vAlign w:val="center"/>
            <w:tcMar>
              <w:top w:w="80" w:type="dxa"/>
              <w:bottom w:w="80" w:type="dxa"/>
              <w:left w:w="120" w:type="dxa"/>
              <w:right w:w="120" w:type="dxa"/>
            </w:tcMar>
            <w:shd w:fill="F2F5F9"/>
          </w:tcPr>
          <w:p>
            <w:r>
              <w:rPr>
                <w:rFonts w:ascii="Calibri" w:hAnsi="Calibri"/>
                <w:sz w:val="19"/>
              </w:rPr>
              <w:t>1,905.5 (33% Save)</w:t>
            </w:r>
          </w:p>
        </w:tc>
      </w:tr>
    </w:tbl>
    <w:p>
      <w:pPr>
        <w:spacing w:before="160"/>
      </w:pPr>
    </w:p>
    <w:p>
      <w:r>
        <w:drawing>
          <wp:inline xmlns:a="http://schemas.openxmlformats.org/drawingml/2006/main" xmlns:pic="http://schemas.openxmlformats.org/drawingml/2006/picture">
            <wp:extent cx="5394960" cy="2697480"/>
            <wp:docPr id="3" name="Picture 3"/>
            <wp:cNvGraphicFramePr>
              <a:graphicFrameLocks noChangeAspect="1"/>
            </wp:cNvGraphicFramePr>
            <a:graphic>
              <a:graphicData uri="http://schemas.openxmlformats.org/drawingml/2006/picture">
                <pic:pic>
                  <pic:nvPicPr>
                    <pic:cNvPr id="0" name="three_way_comparison_german_random_forest.png"/>
                    <pic:cNvPicPr/>
                  </pic:nvPicPr>
                  <pic:blipFill>
                    <a:blip r:embed="rId13"/>
                    <a:stretch>
                      <a:fillRect/>
                    </a:stretch>
                  </pic:blipFill>
                  <pic:spPr>
                    <a:xfrm>
                      <a:off x="0" y="0"/>
                      <a:ext cx="5394960" cy="2697480"/>
                    </a:xfrm>
                    <a:prstGeom prst="rect"/>
                  </pic:spPr>
                </pic:pic>
              </a:graphicData>
            </a:graphic>
          </wp:inline>
        </w:drawing>
      </w:r>
    </w:p>
    <w:p>
      <w:pPr>
        <w:jc w:val="center"/>
      </w:pPr>
      <w:r>
        <w:rPr>
          <w:i/>
          <w:sz w:val="18"/>
        </w:rPr>
        <w:t>Figure 3: Three-Way Grouped Bar Chart Comparison for German Credit (Random Forest).</w:t>
      </w:r>
    </w:p>
    <w:p>
      <w:r>
        <w:drawing>
          <wp:inline xmlns:a="http://schemas.openxmlformats.org/drawingml/2006/main" xmlns:pic="http://schemas.openxmlformats.org/drawingml/2006/picture">
            <wp:extent cx="5394960" cy="2697480"/>
            <wp:docPr id="4" name="Picture 4"/>
            <wp:cNvGraphicFramePr>
              <a:graphicFrameLocks noChangeAspect="1"/>
            </wp:cNvGraphicFramePr>
            <a:graphic>
              <a:graphicData uri="http://schemas.openxmlformats.org/drawingml/2006/picture">
                <pic:pic>
                  <pic:nvPicPr>
                    <pic:cNvPr id="0" name="three_way_comparison_taiwan_random_forest.png"/>
                    <pic:cNvPicPr/>
                  </pic:nvPicPr>
                  <pic:blipFill>
                    <a:blip r:embed="rId14"/>
                    <a:stretch>
                      <a:fillRect/>
                    </a:stretch>
                  </pic:blipFill>
                  <pic:spPr>
                    <a:xfrm>
                      <a:off x="0" y="0"/>
                      <a:ext cx="5394960" cy="2697480"/>
                    </a:xfrm>
                    <a:prstGeom prst="rect"/>
                  </pic:spPr>
                </pic:pic>
              </a:graphicData>
            </a:graphic>
          </wp:inline>
        </w:drawing>
      </w:r>
    </w:p>
    <w:p>
      <w:pPr>
        <w:jc w:val="center"/>
      </w:pPr>
      <w:r>
        <w:rPr>
          <w:i/>
          <w:sz w:val="18"/>
        </w:rPr>
        <w:t>Figure 4: Three-Way Grouped Bar Chart Comparison for Taiwan Credit (Random Forest).</w:t>
      </w:r>
    </w:p>
    <w:p>
      <w:pPr>
        <w:pStyle w:val="Heading2"/>
      </w:pPr>
      <w:r>
        <w:t>4.1 Statistical Significance: Nadeau-Bengio Resampled t-Test</w:t>
      </w:r>
    </w:p>
    <w:p>
      <w:r>
        <w:t>Standard Student's t-tests violate independence assumptions under cross-validation due to training fold overlap. I applied the Nadeau-Bengio (2003) corrected resampled t-test across all 10 folds comparing the Baseline Reproduction against the Enhanced Model:</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Evaluated Metric</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Baseline Mean</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Enhanced Mean</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Mean Difference</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t-Statistic</w:t>
            </w:r>
          </w:p>
        </w:tc>
        <w:tc>
          <w:tcPr>
            <w:tcW w:type="dxa" w:w="1560"/>
            <w:vAlign w:val="center"/>
            <w:tcMar>
              <w:top w:w="80" w:type="dxa"/>
              <w:bottom w:w="80" w:type="dxa"/>
              <w:left w:w="120" w:type="dxa"/>
              <w:right w:w="120" w:type="dxa"/>
            </w:tcMar>
            <w:shd w:fill="2E75B6"/>
          </w:tcPr>
          <w:p>
            <w:pPr>
              <w:jc w:val="center"/>
            </w:pPr>
            <w:r>
              <w:rPr>
                <w:rFonts w:ascii="Calibri" w:hAnsi="Calibri"/>
                <w:b/>
                <w:color w:val="FFFFFF"/>
                <w:sz w:val="19"/>
              </w:rPr>
              <w:t>p-Value (p &lt; 0.05)</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Recall (Default Detection)</w:t>
            </w:r>
          </w:p>
        </w:tc>
        <w:tc>
          <w:tcPr>
            <w:tcW w:type="dxa" w:w="1560"/>
            <w:vAlign w:val="center"/>
            <w:tcMar>
              <w:top w:w="80" w:type="dxa"/>
              <w:bottom w:w="80" w:type="dxa"/>
              <w:left w:w="120" w:type="dxa"/>
              <w:right w:w="120" w:type="dxa"/>
            </w:tcMar>
            <w:shd w:fill="FFFFFF"/>
          </w:tcPr>
          <w:p>
            <w:r>
              <w:rPr>
                <w:rFonts w:ascii="Calibri" w:hAnsi="Calibri"/>
                <w:sz w:val="19"/>
              </w:rPr>
              <w:t>0.740</w:t>
            </w:r>
          </w:p>
        </w:tc>
        <w:tc>
          <w:tcPr>
            <w:tcW w:type="dxa" w:w="1560"/>
            <w:vAlign w:val="center"/>
            <w:tcMar>
              <w:top w:w="80" w:type="dxa"/>
              <w:bottom w:w="80" w:type="dxa"/>
              <w:left w:w="120" w:type="dxa"/>
              <w:right w:w="120" w:type="dxa"/>
            </w:tcMar>
            <w:shd w:fill="FFFFFF"/>
          </w:tcPr>
          <w:p>
            <w:r>
              <w:rPr>
                <w:rFonts w:ascii="Calibri" w:hAnsi="Calibri"/>
                <w:sz w:val="19"/>
              </w:rPr>
              <w:t>0.897</w:t>
            </w:r>
          </w:p>
        </w:tc>
        <w:tc>
          <w:tcPr>
            <w:tcW w:type="dxa" w:w="1560"/>
            <w:vAlign w:val="center"/>
            <w:tcMar>
              <w:top w:w="80" w:type="dxa"/>
              <w:bottom w:w="80" w:type="dxa"/>
              <w:left w:w="120" w:type="dxa"/>
              <w:right w:w="120" w:type="dxa"/>
            </w:tcMar>
            <w:shd w:fill="FFFFFF"/>
          </w:tcPr>
          <w:p>
            <w:r>
              <w:rPr>
                <w:rFonts w:ascii="Calibri" w:hAnsi="Calibri"/>
                <w:sz w:val="19"/>
              </w:rPr>
              <w:t>+0.157</w:t>
            </w:r>
          </w:p>
        </w:tc>
        <w:tc>
          <w:tcPr>
            <w:tcW w:type="dxa" w:w="1560"/>
            <w:vAlign w:val="center"/>
            <w:tcMar>
              <w:top w:w="80" w:type="dxa"/>
              <w:bottom w:w="80" w:type="dxa"/>
              <w:left w:w="120" w:type="dxa"/>
              <w:right w:w="120" w:type="dxa"/>
            </w:tcMar>
            <w:shd w:fill="FFFFFF"/>
          </w:tcPr>
          <w:p>
            <w:r>
              <w:rPr>
                <w:rFonts w:ascii="Calibri" w:hAnsi="Calibri"/>
                <w:sz w:val="19"/>
              </w:rPr>
              <w:t>+2.95</w:t>
            </w:r>
          </w:p>
        </w:tc>
        <w:tc>
          <w:tcPr>
            <w:tcW w:type="dxa" w:w="1560"/>
            <w:vAlign w:val="center"/>
            <w:tcMar>
              <w:top w:w="80" w:type="dxa"/>
              <w:bottom w:w="80" w:type="dxa"/>
              <w:left w:w="120" w:type="dxa"/>
              <w:right w:w="120" w:type="dxa"/>
            </w:tcMar>
            <w:shd w:fill="FFFFFF"/>
          </w:tcPr>
          <w:p>
            <w:r>
              <w:rPr>
                <w:rFonts w:ascii="Calibri" w:hAnsi="Calibri"/>
                <w:sz w:val="19"/>
              </w:rPr>
              <w:t>0.0162 (Significant)</w:t>
            </w:r>
          </w:p>
        </w:tc>
      </w:tr>
      <w:tr>
        <w:trPr>
          <w:cantSplit/>
        </w:trPr>
        <w:tc>
          <w:tcPr>
            <w:tcW w:type="dxa" w:w="1560"/>
            <w:vAlign w:val="center"/>
            <w:tcMar>
              <w:top w:w="80" w:type="dxa"/>
              <w:bottom w:w="80" w:type="dxa"/>
              <w:left w:w="120" w:type="dxa"/>
              <w:right w:w="120" w:type="dxa"/>
            </w:tcMar>
            <w:shd w:fill="F9FAFC"/>
          </w:tcPr>
          <w:p>
            <w:r>
              <w:rPr>
                <w:rFonts w:ascii="Calibri" w:hAnsi="Calibri"/>
                <w:sz w:val="19"/>
              </w:rPr>
              <w:t>Accuracy</w:t>
            </w:r>
          </w:p>
        </w:tc>
        <w:tc>
          <w:tcPr>
            <w:tcW w:type="dxa" w:w="1560"/>
            <w:vAlign w:val="center"/>
            <w:tcMar>
              <w:top w:w="80" w:type="dxa"/>
              <w:bottom w:w="80" w:type="dxa"/>
              <w:left w:w="120" w:type="dxa"/>
              <w:right w:w="120" w:type="dxa"/>
            </w:tcMar>
            <w:shd w:fill="F9FAFC"/>
          </w:tcPr>
          <w:p>
            <w:r>
              <w:rPr>
                <w:rFonts w:ascii="Calibri" w:hAnsi="Calibri"/>
                <w:sz w:val="19"/>
              </w:rPr>
              <w:t>0.681</w:t>
            </w:r>
          </w:p>
        </w:tc>
        <w:tc>
          <w:tcPr>
            <w:tcW w:type="dxa" w:w="1560"/>
            <w:vAlign w:val="center"/>
            <w:tcMar>
              <w:top w:w="80" w:type="dxa"/>
              <w:bottom w:w="80" w:type="dxa"/>
              <w:left w:w="120" w:type="dxa"/>
              <w:right w:w="120" w:type="dxa"/>
            </w:tcMar>
            <w:shd w:fill="F9FAFC"/>
          </w:tcPr>
          <w:p>
            <w:r>
              <w:rPr>
                <w:rFonts w:ascii="Calibri" w:hAnsi="Calibri"/>
                <w:sz w:val="19"/>
              </w:rPr>
              <w:t>0.592</w:t>
            </w:r>
          </w:p>
        </w:tc>
        <w:tc>
          <w:tcPr>
            <w:tcW w:type="dxa" w:w="1560"/>
            <w:vAlign w:val="center"/>
            <w:tcMar>
              <w:top w:w="80" w:type="dxa"/>
              <w:bottom w:w="80" w:type="dxa"/>
              <w:left w:w="120" w:type="dxa"/>
              <w:right w:w="120" w:type="dxa"/>
            </w:tcMar>
            <w:shd w:fill="F9FAFC"/>
          </w:tcPr>
          <w:p>
            <w:r>
              <w:rPr>
                <w:rFonts w:ascii="Calibri" w:hAnsi="Calibri"/>
                <w:sz w:val="19"/>
              </w:rPr>
              <w:t>-0.089</w:t>
            </w:r>
          </w:p>
        </w:tc>
        <w:tc>
          <w:tcPr>
            <w:tcW w:type="dxa" w:w="1560"/>
            <w:vAlign w:val="center"/>
            <w:tcMar>
              <w:top w:w="80" w:type="dxa"/>
              <w:bottom w:w="80" w:type="dxa"/>
              <w:left w:w="120" w:type="dxa"/>
              <w:right w:w="120" w:type="dxa"/>
            </w:tcMar>
            <w:shd w:fill="F9FAFC"/>
          </w:tcPr>
          <w:p>
            <w:r>
              <w:rPr>
                <w:rFonts w:ascii="Calibri" w:hAnsi="Calibri"/>
                <w:sz w:val="19"/>
              </w:rPr>
              <w:t>-2.40</w:t>
            </w:r>
          </w:p>
        </w:tc>
        <w:tc>
          <w:tcPr>
            <w:tcW w:type="dxa" w:w="1560"/>
            <w:vAlign w:val="center"/>
            <w:tcMar>
              <w:top w:w="80" w:type="dxa"/>
              <w:bottom w:w="80" w:type="dxa"/>
              <w:left w:w="120" w:type="dxa"/>
              <w:right w:w="120" w:type="dxa"/>
            </w:tcMar>
            <w:shd w:fill="F9FAFC"/>
          </w:tcPr>
          <w:p>
            <w:r>
              <w:rPr>
                <w:rFonts w:ascii="Calibri" w:hAnsi="Calibri"/>
                <w:sz w:val="19"/>
              </w:rPr>
              <w:t>0.0400 (Significant Trade-off)</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F1-Score</w:t>
            </w:r>
          </w:p>
        </w:tc>
        <w:tc>
          <w:tcPr>
            <w:tcW w:type="dxa" w:w="1560"/>
            <w:vAlign w:val="center"/>
            <w:tcMar>
              <w:top w:w="80" w:type="dxa"/>
              <w:bottom w:w="80" w:type="dxa"/>
              <w:left w:w="120" w:type="dxa"/>
              <w:right w:w="120" w:type="dxa"/>
            </w:tcMar>
            <w:shd w:fill="FFFFFF"/>
          </w:tcPr>
          <w:p>
            <w:r>
              <w:rPr>
                <w:rFonts w:ascii="Calibri" w:hAnsi="Calibri"/>
                <w:sz w:val="19"/>
              </w:rPr>
              <w:t>0.582</w:t>
            </w:r>
          </w:p>
        </w:tc>
        <w:tc>
          <w:tcPr>
            <w:tcW w:type="dxa" w:w="1560"/>
            <w:vAlign w:val="center"/>
            <w:tcMar>
              <w:top w:w="80" w:type="dxa"/>
              <w:bottom w:w="80" w:type="dxa"/>
              <w:left w:w="120" w:type="dxa"/>
              <w:right w:w="120" w:type="dxa"/>
            </w:tcMar>
            <w:shd w:fill="FFFFFF"/>
          </w:tcPr>
          <w:p>
            <w:r>
              <w:rPr>
                <w:rFonts w:ascii="Calibri" w:hAnsi="Calibri"/>
                <w:sz w:val="19"/>
              </w:rPr>
              <w:t>0.574</w:t>
            </w:r>
          </w:p>
        </w:tc>
        <w:tc>
          <w:tcPr>
            <w:tcW w:type="dxa" w:w="1560"/>
            <w:vAlign w:val="center"/>
            <w:tcMar>
              <w:top w:w="80" w:type="dxa"/>
              <w:bottom w:w="80" w:type="dxa"/>
              <w:left w:w="120" w:type="dxa"/>
              <w:right w:w="120" w:type="dxa"/>
            </w:tcMar>
            <w:shd w:fill="FFFFFF"/>
          </w:tcPr>
          <w:p>
            <w:r>
              <w:rPr>
                <w:rFonts w:ascii="Calibri" w:hAnsi="Calibri"/>
                <w:sz w:val="19"/>
              </w:rPr>
              <w:t>-0.008</w:t>
            </w:r>
          </w:p>
        </w:tc>
        <w:tc>
          <w:tcPr>
            <w:tcW w:type="dxa" w:w="1560"/>
            <w:vAlign w:val="center"/>
            <w:tcMar>
              <w:top w:w="80" w:type="dxa"/>
              <w:bottom w:w="80" w:type="dxa"/>
              <w:left w:w="120" w:type="dxa"/>
              <w:right w:w="120" w:type="dxa"/>
            </w:tcMar>
            <w:shd w:fill="FFFFFF"/>
          </w:tcPr>
          <w:p>
            <w:r>
              <w:rPr>
                <w:rFonts w:ascii="Calibri" w:hAnsi="Calibri"/>
                <w:sz w:val="19"/>
              </w:rPr>
              <w:t>-0.41</w:t>
            </w:r>
          </w:p>
        </w:tc>
        <w:tc>
          <w:tcPr>
            <w:tcW w:type="dxa" w:w="1560"/>
            <w:vAlign w:val="center"/>
            <w:tcMar>
              <w:top w:w="80" w:type="dxa"/>
              <w:bottom w:w="80" w:type="dxa"/>
              <w:left w:w="120" w:type="dxa"/>
              <w:right w:w="120" w:type="dxa"/>
            </w:tcMar>
            <w:shd w:fill="FFFFFF"/>
          </w:tcPr>
          <w:p>
            <w:r>
              <w:rPr>
                <w:rFonts w:ascii="Calibri" w:hAnsi="Calibri"/>
                <w:sz w:val="19"/>
              </w:rPr>
              <w:t>0.6879 (Parity Maintained)</w:t>
            </w:r>
          </w:p>
        </w:tc>
      </w:tr>
      <w:tr>
        <w:trPr>
          <w:cantSplit/>
        </w:trPr>
        <w:tc>
          <w:tcPr>
            <w:tcW w:type="dxa" w:w="1560"/>
            <w:vAlign w:val="center"/>
            <w:tcMar>
              <w:top w:w="80" w:type="dxa"/>
              <w:bottom w:w="80" w:type="dxa"/>
              <w:left w:w="120" w:type="dxa"/>
              <w:right w:w="120" w:type="dxa"/>
            </w:tcMar>
            <w:shd w:fill="F9FAFC"/>
          </w:tcPr>
          <w:p>
            <w:r>
              <w:rPr>
                <w:rFonts w:ascii="Calibri" w:hAnsi="Calibri"/>
                <w:sz w:val="19"/>
              </w:rPr>
              <w:t>Precision</w:t>
            </w:r>
          </w:p>
        </w:tc>
        <w:tc>
          <w:tcPr>
            <w:tcW w:type="dxa" w:w="1560"/>
            <w:vAlign w:val="center"/>
            <w:tcMar>
              <w:top w:w="80" w:type="dxa"/>
              <w:bottom w:w="80" w:type="dxa"/>
              <w:left w:w="120" w:type="dxa"/>
              <w:right w:w="120" w:type="dxa"/>
            </w:tcMar>
            <w:shd w:fill="F9FAFC"/>
          </w:tcPr>
          <w:p>
            <w:r>
              <w:rPr>
                <w:rFonts w:ascii="Calibri" w:hAnsi="Calibri"/>
                <w:sz w:val="19"/>
              </w:rPr>
              <w:t>0.481</w:t>
            </w:r>
          </w:p>
        </w:tc>
        <w:tc>
          <w:tcPr>
            <w:tcW w:type="dxa" w:w="1560"/>
            <w:vAlign w:val="center"/>
            <w:tcMar>
              <w:top w:w="80" w:type="dxa"/>
              <w:bottom w:w="80" w:type="dxa"/>
              <w:left w:w="120" w:type="dxa"/>
              <w:right w:w="120" w:type="dxa"/>
            </w:tcMar>
            <w:shd w:fill="F9FAFC"/>
          </w:tcPr>
          <w:p>
            <w:r>
              <w:rPr>
                <w:rFonts w:ascii="Calibri" w:hAnsi="Calibri"/>
                <w:sz w:val="19"/>
              </w:rPr>
              <w:t>0.429</w:t>
            </w:r>
          </w:p>
        </w:tc>
        <w:tc>
          <w:tcPr>
            <w:tcW w:type="dxa" w:w="1560"/>
            <w:vAlign w:val="center"/>
            <w:tcMar>
              <w:top w:w="80" w:type="dxa"/>
              <w:bottom w:w="80" w:type="dxa"/>
              <w:left w:w="120" w:type="dxa"/>
              <w:right w:w="120" w:type="dxa"/>
            </w:tcMar>
            <w:shd w:fill="F9FAFC"/>
          </w:tcPr>
          <w:p>
            <w:r>
              <w:rPr>
                <w:rFonts w:ascii="Calibri" w:hAnsi="Calibri"/>
                <w:sz w:val="19"/>
              </w:rPr>
              <w:t>-0.052</w:t>
            </w:r>
          </w:p>
        </w:tc>
        <w:tc>
          <w:tcPr>
            <w:tcW w:type="dxa" w:w="1560"/>
            <w:vAlign w:val="center"/>
            <w:tcMar>
              <w:top w:w="80" w:type="dxa"/>
              <w:bottom w:w="80" w:type="dxa"/>
              <w:left w:w="120" w:type="dxa"/>
              <w:right w:w="120" w:type="dxa"/>
            </w:tcMar>
            <w:shd w:fill="F9FAFC"/>
          </w:tcPr>
          <w:p>
            <w:r>
              <w:rPr>
                <w:rFonts w:ascii="Calibri" w:hAnsi="Calibri"/>
                <w:sz w:val="19"/>
              </w:rPr>
              <w:t>-1.69</w:t>
            </w:r>
          </w:p>
        </w:tc>
        <w:tc>
          <w:tcPr>
            <w:tcW w:type="dxa" w:w="1560"/>
            <w:vAlign w:val="center"/>
            <w:tcMar>
              <w:top w:w="80" w:type="dxa"/>
              <w:bottom w:w="80" w:type="dxa"/>
              <w:left w:w="120" w:type="dxa"/>
              <w:right w:w="120" w:type="dxa"/>
            </w:tcMar>
            <w:shd w:fill="F9FAFC"/>
          </w:tcPr>
          <w:p>
            <w:r>
              <w:rPr>
                <w:rFonts w:ascii="Calibri" w:hAnsi="Calibri"/>
                <w:sz w:val="19"/>
              </w:rPr>
              <w:t>0.1254 (Not Significant)</w:t>
            </w:r>
          </w:p>
        </w:tc>
      </w:tr>
      <w:tr>
        <w:trPr>
          <w:cantSplit/>
        </w:trPr>
        <w:tc>
          <w:tcPr>
            <w:tcW w:type="dxa" w:w="1560"/>
            <w:vAlign w:val="center"/>
            <w:tcMar>
              <w:top w:w="80" w:type="dxa"/>
              <w:bottom w:w="80" w:type="dxa"/>
              <w:left w:w="120" w:type="dxa"/>
              <w:right w:w="120" w:type="dxa"/>
            </w:tcMar>
            <w:shd w:fill="FFFFFF"/>
          </w:tcPr>
          <w:p>
            <w:r>
              <w:rPr>
                <w:rFonts w:ascii="Calibri" w:hAnsi="Calibri"/>
                <w:sz w:val="19"/>
              </w:rPr>
              <w:t>Specificity</w:t>
            </w:r>
          </w:p>
        </w:tc>
        <w:tc>
          <w:tcPr>
            <w:tcW w:type="dxa" w:w="1560"/>
            <w:vAlign w:val="center"/>
            <w:tcMar>
              <w:top w:w="80" w:type="dxa"/>
              <w:bottom w:w="80" w:type="dxa"/>
              <w:left w:w="120" w:type="dxa"/>
              <w:right w:w="120" w:type="dxa"/>
            </w:tcMar>
            <w:shd w:fill="FFFFFF"/>
          </w:tcPr>
          <w:p>
            <w:r>
              <w:rPr>
                <w:rFonts w:ascii="Calibri" w:hAnsi="Calibri"/>
                <w:sz w:val="19"/>
              </w:rPr>
              <w:t>0.656</w:t>
            </w:r>
          </w:p>
        </w:tc>
        <w:tc>
          <w:tcPr>
            <w:tcW w:type="dxa" w:w="1560"/>
            <w:vAlign w:val="center"/>
            <w:tcMar>
              <w:top w:w="80" w:type="dxa"/>
              <w:bottom w:w="80" w:type="dxa"/>
              <w:left w:w="120" w:type="dxa"/>
              <w:right w:w="120" w:type="dxa"/>
            </w:tcMar>
            <w:shd w:fill="FFFFFF"/>
          </w:tcPr>
          <w:p>
            <w:r>
              <w:rPr>
                <w:rFonts w:ascii="Calibri" w:hAnsi="Calibri"/>
                <w:sz w:val="19"/>
              </w:rPr>
              <w:t>0.461</w:t>
            </w:r>
          </w:p>
        </w:tc>
        <w:tc>
          <w:tcPr>
            <w:tcW w:type="dxa" w:w="1560"/>
            <w:vAlign w:val="center"/>
            <w:tcMar>
              <w:top w:w="80" w:type="dxa"/>
              <w:bottom w:w="80" w:type="dxa"/>
              <w:left w:w="120" w:type="dxa"/>
              <w:right w:w="120" w:type="dxa"/>
            </w:tcMar>
            <w:shd w:fill="FFFFFF"/>
          </w:tcPr>
          <w:p>
            <w:r>
              <w:rPr>
                <w:rFonts w:ascii="Calibri" w:hAnsi="Calibri"/>
                <w:sz w:val="19"/>
              </w:rPr>
              <w:t>-0.194</w:t>
            </w:r>
          </w:p>
        </w:tc>
        <w:tc>
          <w:tcPr>
            <w:tcW w:type="dxa" w:w="1560"/>
            <w:vAlign w:val="center"/>
            <w:tcMar>
              <w:top w:w="80" w:type="dxa"/>
              <w:bottom w:w="80" w:type="dxa"/>
              <w:left w:w="120" w:type="dxa"/>
              <w:right w:w="120" w:type="dxa"/>
            </w:tcMar>
            <w:shd w:fill="FFFFFF"/>
          </w:tcPr>
          <w:p>
            <w:r>
              <w:rPr>
                <w:rFonts w:ascii="Calibri" w:hAnsi="Calibri"/>
                <w:sz w:val="19"/>
              </w:rPr>
              <w:t>-2.77</w:t>
            </w:r>
          </w:p>
        </w:tc>
        <w:tc>
          <w:tcPr>
            <w:tcW w:type="dxa" w:w="1560"/>
            <w:vAlign w:val="center"/>
            <w:tcMar>
              <w:top w:w="80" w:type="dxa"/>
              <w:bottom w:w="80" w:type="dxa"/>
              <w:left w:w="120" w:type="dxa"/>
              <w:right w:w="120" w:type="dxa"/>
            </w:tcMar>
            <w:shd w:fill="FFFFFF"/>
          </w:tcPr>
          <w:p>
            <w:r>
              <w:rPr>
                <w:rFonts w:ascii="Calibri" w:hAnsi="Calibri"/>
                <w:sz w:val="19"/>
              </w:rPr>
              <w:t>0.0217 (Significant Trade-off)</w:t>
            </w:r>
          </w:p>
        </w:tc>
      </w:tr>
    </w:tbl>
    <w:p>
      <w:r>
        <w:t>The test formally validates that the enhanced model's Recall gain (+15.7%) is statistically significant at the 95% confidence level (p = 0.0162), proving that the threshold adjustment genuinely improves credit default detection rather than reflecting sampling variation.</w:t>
      </w:r>
    </w:p>
    <w:p>
      <w:pPr>
        <w:pStyle w:val="Heading1"/>
      </w:pPr>
      <w:r>
        <w:rPr>
          <w:color w:val="1F4E79"/>
        </w:rPr>
        <w:t>Chapter 5: Technical Walkthrough of Notebook 1 (credit_risk_paper_reproduction.ipynb)</w:t>
      </w:r>
    </w:p>
    <w:p>
      <w:r>
        <w:t>Notebook 1 represents the pure replication baseline. The cell-by-cell architectural implementation is structured as follows:</w:t>
      </w:r>
    </w:p>
    <w:p>
      <w:r>
        <w:rPr>
          <w:b/>
        </w:rPr>
        <w:t xml:space="preserve">• Cell 1: Markdown Overview: </w:t>
      </w:r>
      <w:r>
        <w:t>Defines the study title, paper metadata (Mapfumo &amp; Shongwe, 2026), and summarizes the 100% data protocol and Algorithm 1 objectives.</w:t>
      </w:r>
    </w:p>
    <w:p>
      <w:r>
        <w:rPr>
          <w:b/>
        </w:rPr>
        <w:t xml:space="preserve">• Cell 2: Environment Setup: </w:t>
      </w:r>
      <w:r>
        <w:t>Imports scientific libraries, sets global random seed (SEED = 42), configures logging, and dynamically verifies PyTorch and scikit-learn installations.</w:t>
      </w:r>
    </w:p>
    <w:p>
      <w:r>
        <w:rPr>
          <w:b/>
        </w:rPr>
        <w:t xml:space="preserve">• Cell 3: Data Ingestion Engine: </w:t>
      </w:r>
      <w:r>
        <w:t>Executes load_german_data() and load_taiwan_data() to load all 1,000 German records and 30,000 Taiwan instances without downsampling (QUICK_TEST disabled).</w:t>
      </w:r>
    </w:p>
    <w:p>
      <w:r>
        <w:rPr>
          <w:b/>
        </w:rPr>
        <w:t xml:space="preserve">• Cell 4: Schema &amp; Target Verification: </w:t>
      </w:r>
      <w:r>
        <w:t>Validates binary target distributions: German (70% Good, 30% Bad) and Taiwan (77.9% Solvent, 22.1% Default). Confirms categorical and continuous feature splits.</w:t>
      </w:r>
    </w:p>
    <w:p>
      <w:r>
        <w:rPr>
          <w:b/>
        </w:rPr>
        <w:t xml:space="preserve">• Cell 5: Model Architectures &amp; Hyperparameters: </w:t>
      </w:r>
      <w:r>
        <w:t>Implements create_model() containing all Table 4 estimators: MLP (128, 64, 32 with Adam lr=0.001), Random Forest (100 estimators), XGBoost (lr=0.1, max_depth=6), and Logistic Regression.</w:t>
      </w:r>
    </w:p>
    <w:p>
      <w:r>
        <w:rPr>
          <w:b/>
        </w:rPr>
        <w:t xml:space="preserve">• Cell 6: In-Fold Resampling Factory: </w:t>
      </w:r>
      <w:r>
        <w:t>Implements get_resampler() for 'No Resampling', SMOTE, ENN, and SMOTE-ENN, strictly ensuring resamplers are instantiated fresh per fold.</w:t>
      </w:r>
    </w:p>
    <w:p>
      <w:r>
        <w:rPr>
          <w:b/>
        </w:rPr>
        <w:t xml:space="preserve">• Cell 7: Algorithm 1 Cross-Validation Engine: </w:t>
      </w:r>
      <w:r>
        <w:t>Implements run_experiment() executing 10-Fold Stratified Cross-Validation with in-fold scaling, in-fold resampling, model training, untouched validation evaluation, and ETA progress tracking.</w:t>
      </w:r>
    </w:p>
    <w:p>
      <w:r>
        <w:rPr>
          <w:b/>
        </w:rPr>
        <w:t xml:space="preserve">• Cell 8: German Benchmark Execution: </w:t>
      </w:r>
      <w:r>
        <w:t>Runs the 4x4 matrix (16 experimental runs) across German credit models and resampling techniques, generating results matching replicated Table 5.</w:t>
      </w:r>
    </w:p>
    <w:p>
      <w:r>
        <w:rPr>
          <w:b/>
        </w:rPr>
        <w:t xml:space="preserve">• Cell 9: Taiwan Benchmark Execution: </w:t>
      </w:r>
      <w:r>
        <w:t>Executes the full 30,000-instance Taiwan credit matrix, logging fold-by-fold execution times and export of reproduced_table6_taiwan.csv.</w:t>
      </w:r>
    </w:p>
    <w:p>
      <w:r>
        <w:rPr>
          <w:b/>
        </w:rPr>
        <w:t xml:space="preserve">• Cell 10: Comparative Metric Visualizations: </w:t>
      </w:r>
      <w:r>
        <w:t>Generates side-by-side grouped bar charts (comparison_german_mlp.png, comparison_taiwan_random_forest.png) comparing replicated metrics against published paper numbers.</w:t>
      </w:r>
    </w:p>
    <w:p>
      <w:r>
        <w:rPr>
          <w:b/>
        </w:rPr>
        <w:t xml:space="preserve">• Cell 11: Controlled Data Leakage Experiment: </w:t>
      </w:r>
      <w:r>
        <w:t>Implements the empirical audit comparing in-fold vs pre-split oversampling, generating data_leakage_experiment.csv and proving the origin of the authors' 0.937 F1 illusion.</w:t>
      </w:r>
    </w:p>
    <w:p>
      <w:r>
        <w:rPr>
          <w:b/>
        </w:rPr>
        <w:t xml:space="preserve">• Cell 12: SHAP Interpretability Analysis: </w:t>
      </w:r>
      <w:r>
        <w:t>Calculates TreeExplainer SHAP values across untouched validation holdouts, producing feature importance beeswarm plots consistent with paper Section 3.5.</w:t>
      </w:r>
    </w:p>
    <w:p>
      <w:r>
        <w:rPr>
          <w:b/>
        </w:rPr>
        <w:t xml:space="preserve">• Cell 13: Summary Synthesis &amp; Logging: </w:t>
      </w:r>
      <w:r>
        <w:t>Consolidates all benchmark logs, saves final CSV outputs to results/tables/, and outputs runtime performance summaries.</w:t>
      </w:r>
    </w:p>
    <w:p>
      <w:pPr>
        <w:pStyle w:val="Heading1"/>
      </w:pPr>
      <w:r>
        <w:rPr>
          <w:color w:val="1F4E79"/>
        </w:rPr>
        <w:t>Chapter 6: Technical Walkthrough of Notebook 2 (credit_risk_enhanced_model.ipynb)</w:t>
      </w:r>
    </w:p>
    <w:p>
      <w:r>
        <w:t>Notebook 2 contains the enhanced production framework implementing all Phase 1 corrections. Its 10 structured stages are organized as follows:</w:t>
      </w:r>
    </w:p>
    <w:p>
      <w:r>
        <w:rPr>
          <w:b/>
        </w:rPr>
        <w:t xml:space="preserve">• Stage 1: Environment &amp; Modular Dependencies: </w:t>
      </w:r>
      <w:r>
        <w:t>Imports custom modules from src (enhanced_preprocessors, enhanced_pipelines, statistical_tests, fairness_calibration) and configures matplotlib Agg backend.</w:t>
      </w:r>
    </w:p>
    <w:p>
      <w:r>
        <w:rPr>
          <w:b/>
        </w:rPr>
        <w:t xml:space="preserve">• Stage 2: Phase 1 Data Hygiene Auditing: </w:t>
      </w:r>
      <w:r>
        <w:t>Executes clean_taiwan_hygiene(), dropping 35 duplicate rows, remapping undocumented codes (EDUCATION 0,5,6 -&gt; 4; MARRIAGE 0 -&gt; 3), and standardizing PAY_0 -&gt; PAY_1.</w:t>
      </w:r>
    </w:p>
    <w:p>
      <w:r>
        <w:rPr>
          <w:b/>
        </w:rPr>
        <w:t xml:space="preserve">• Stage 3: SkewLog Transformation: </w:t>
      </w:r>
      <w:r>
        <w:t>Applies SkewLogTransformer() to high-kurtosis monetary features (BILL_AMT, PAY_AMT), outputs skewness reduction table, and renders skewlog_bill_amt1.png.</w:t>
      </w:r>
    </w:p>
    <w:p>
      <w:r>
        <w:rPr>
          <w:b/>
        </w:rPr>
        <w:t xml:space="preserve">• Stage 4: Categorical-Aware SMOTE-NC: </w:t>
      </w:r>
      <w:r>
        <w:t>Constructs ordinal preprocessors and runs SMOTENC on German credit categoricals, validating that all synthetic categorical values strictly preserve discrete integer levels.</w:t>
      </w:r>
    </w:p>
    <w:p>
      <w:r>
        <w:rPr>
          <w:b/>
        </w:rPr>
        <w:t xml:space="preserve">• Stage 5: Decision Threshold Optimization: </w:t>
      </w:r>
      <w:r>
        <w:t>Executes find_optimal_threshold() under the German 5:1 asymmetric loss matrix and Taiwan MCC objective; renders threshold_curves_german.png showing cost minimization at p*=0.31.</w:t>
      </w:r>
    </w:p>
    <w:p>
      <w:r>
        <w:rPr>
          <w:b/>
        </w:rPr>
        <w:t xml:space="preserve">• Stage 6: Enhanced 10-Fold CV Benchmarking: </w:t>
      </w:r>
      <w:r>
        <w:t>Executes run_enhanced_cv() across German and Taiwan datasets with in-fold threshold tuning, in-fold SkewLog, and exports enhanced_table_german.csv and enhanced_table_taiwan.csv.</w:t>
      </w:r>
    </w:p>
    <w:p>
      <w:r>
        <w:rPr>
          <w:b/>
        </w:rPr>
        <w:t xml:space="preserve">• Stage 7: Three-Way Comparative Benchmark: </w:t>
      </w:r>
      <w:r>
        <w:t>Loads baseline CSVs, constructs the master 3-way performance matrix, and plots three_way_comparison_german_random_forest.png and three_way_comparison_taiwan_random_forest.png.</w:t>
      </w:r>
    </w:p>
    <w:p>
      <w:r>
        <w:rPr>
          <w:b/>
        </w:rPr>
        <w:t xml:space="preserve">• Stage 8: Nadeau-Bengio Significance Testing: </w:t>
      </w:r>
      <w:r>
        <w:t>Calculates corrected resampled t-test statistics across all 10 folds, proving statistically significant Recall gains (t=2.95, p=0.0162) and saving statistical_significance_tests.csv.</w:t>
      </w:r>
    </w:p>
    <w:p>
      <w:r>
        <w:rPr>
          <w:b/>
        </w:rPr>
        <w:t xml:space="preserve">• Stage 9: Calibration &amp; Fairness Auditing: </w:t>
      </w:r>
      <w:r>
        <w:t>Computes Brier score (0.1342), generates calibration_curve_enhanced_random_forest.png, computes demographic parity and equal opportunity gaps across Gender and Age, and plots fairness_audit_disparities.png.</w:t>
      </w:r>
    </w:p>
    <w:p>
      <w:r>
        <w:rPr>
          <w:b/>
        </w:rPr>
        <w:t xml:space="preserve">• Stage 10: Academic Conclusion &amp; Manifest: </w:t>
      </w:r>
      <w:r>
        <w:t>Summarizes key engineering findings, verifies deliverable integrity, and confirms regulatory compliance under EU AI Act fair lending standards.</w:t>
      </w:r>
    </w:p>
    <w:p>
      <w:pPr>
        <w:pStyle w:val="Heading1"/>
      </w:pPr>
      <w:r>
        <w:rPr>
          <w:color w:val="1F4E79"/>
        </w:rPr>
        <w:t>Chapter 7: Trustworthy AI – Probability Calibration &amp; Demographic Fairness Audits</w:t>
      </w:r>
    </w:p>
    <w:p>
      <w:r>
        <w:t>Modern financial AI regulations (such as the EU AI Act and the US Equal Credit Opportunity Act) mandate that credit scoring models be both probabilistically calibrated and ethically auditable for disparate impact across protected demographic groups. The original paper omitted these evaluations entirely.</w:t>
      </w:r>
    </w:p>
    <w:p>
      <w:pPr>
        <w:pStyle w:val="Heading2"/>
      </w:pPr>
      <w:r>
        <w:t>7.1 Probability Calibration (Brier Score)</w:t>
      </w:r>
    </w:p>
    <w:p>
      <w:r>
        <w:t>A well-calibrated credit scoring model outputs predicted probabilities that accurately correspond to true default frequencies (e.g., of applicants assigned a default probability of 0.20, exactly 20% should default). My enhanced Random Forest model achieved a Brier score of 0.1342, demonstrating close alignment with the empirical diagonal on reliability curves.</w:t>
      </w:r>
    </w:p>
    <w:p>
      <w:r>
        <w:drawing>
          <wp:inline xmlns:a="http://schemas.openxmlformats.org/drawingml/2006/main" xmlns:pic="http://schemas.openxmlformats.org/drawingml/2006/picture">
            <wp:extent cx="4572000" cy="3918857"/>
            <wp:docPr id="5" name="Picture 5"/>
            <wp:cNvGraphicFramePr>
              <a:graphicFrameLocks noChangeAspect="1"/>
            </wp:cNvGraphicFramePr>
            <a:graphic>
              <a:graphicData uri="http://schemas.openxmlformats.org/drawingml/2006/picture">
                <pic:pic>
                  <pic:nvPicPr>
                    <pic:cNvPr id="0" name="calibration_curve_enhanced_random_forest.png"/>
                    <pic:cNvPicPr/>
                  </pic:nvPicPr>
                  <pic:blipFill>
                    <a:blip r:embed="rId15"/>
                    <a:stretch>
                      <a:fillRect/>
                    </a:stretch>
                  </pic:blipFill>
                  <pic:spPr>
                    <a:xfrm>
                      <a:off x="0" y="0"/>
                      <a:ext cx="4572000" cy="3918857"/>
                    </a:xfrm>
                    <a:prstGeom prst="rect"/>
                  </pic:spPr>
                </pic:pic>
              </a:graphicData>
            </a:graphic>
          </wp:inline>
        </w:drawing>
      </w:r>
    </w:p>
    <w:p>
      <w:pPr>
        <w:jc w:val="center"/>
      </w:pPr>
      <w:r>
        <w:rPr>
          <w:i/>
          <w:sz w:val="18"/>
        </w:rPr>
        <w:t>Figure 5: Probability Calibration Reliability Curve for Enhanced Random Forest (Brier Score = 0.1342).</w:t>
      </w:r>
    </w:p>
    <w:p>
      <w:pPr>
        <w:pStyle w:val="Heading2"/>
      </w:pPr>
      <w:r>
        <w:t>7.2 Demographic Fairness Audit across Gender and Age</w:t>
      </w:r>
    </w:p>
    <w:p>
      <w:r>
        <w:t>I evaluated two fundamental fairness criteria across Taiwan credit borrowers:</w:t>
        <w:br/>
        <w:t>1. Demographic Parity Difference: Delta_DP = |Selection_Rate(Group A) - Selection_Rate(Group B)|</w:t>
        <w:br/>
        <w:t>2. Equal Opportunity Difference: Delta_EO = |Recall_TPR(Group A) - Recall_TPR(Group B)|</w:t>
        <w:br/>
        <w:t>Under international four-fifths (80%) regulatory guidelines, a disparity gap below 0.10 (10%) is considered legally compliant.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Protected Demographic Attribute</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Evaluated Sub-Groups</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Demographic Parity Gap</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Equal Opportunity Gap</w:t>
            </w:r>
          </w:p>
        </w:tc>
        <w:tc>
          <w:tcPr>
            <w:tcW w:type="dxa" w:w="1872"/>
            <w:vAlign w:val="center"/>
            <w:tcMar>
              <w:top w:w="80" w:type="dxa"/>
              <w:bottom w:w="80" w:type="dxa"/>
              <w:left w:w="120" w:type="dxa"/>
              <w:right w:w="120" w:type="dxa"/>
            </w:tcMar>
            <w:shd w:fill="1F4E79"/>
          </w:tcPr>
          <w:p>
            <w:pPr>
              <w:jc w:val="center"/>
            </w:pPr>
            <w:r>
              <w:rPr>
                <w:rFonts w:ascii="Calibri" w:hAnsi="Calibri"/>
                <w:b/>
                <w:color w:val="FFFFFF"/>
                <w:sz w:val="19"/>
              </w:rPr>
              <w:t>Compliance Status</w:t>
            </w:r>
          </w:p>
        </w:tc>
      </w:tr>
      <w:tr>
        <w:trPr>
          <w:cantSplit/>
        </w:trPr>
        <w:tc>
          <w:tcPr>
            <w:tcW w:type="dxa" w:w="1872"/>
            <w:vAlign w:val="center"/>
            <w:tcMar>
              <w:top w:w="80" w:type="dxa"/>
              <w:bottom w:w="80" w:type="dxa"/>
              <w:left w:w="120" w:type="dxa"/>
              <w:right w:w="120" w:type="dxa"/>
            </w:tcMar>
            <w:shd w:fill="FFFFFF"/>
          </w:tcPr>
          <w:p>
            <w:r>
              <w:rPr>
                <w:rFonts w:ascii="Calibri" w:hAnsi="Calibri"/>
                <w:sz w:val="19"/>
              </w:rPr>
              <w:t>Gender (SEX)</w:t>
            </w:r>
          </w:p>
        </w:tc>
        <w:tc>
          <w:tcPr>
            <w:tcW w:type="dxa" w:w="1872"/>
            <w:vAlign w:val="center"/>
            <w:tcMar>
              <w:top w:w="80" w:type="dxa"/>
              <w:bottom w:w="80" w:type="dxa"/>
              <w:left w:w="120" w:type="dxa"/>
              <w:right w:w="120" w:type="dxa"/>
            </w:tcMar>
            <w:shd w:fill="FFFFFF"/>
          </w:tcPr>
          <w:p>
            <w:r>
              <w:rPr>
                <w:rFonts w:ascii="Calibri" w:hAnsi="Calibri"/>
                <w:sz w:val="19"/>
              </w:rPr>
              <w:t>Male vs. Female</w:t>
            </w:r>
          </w:p>
        </w:tc>
        <w:tc>
          <w:tcPr>
            <w:tcW w:type="dxa" w:w="1872"/>
            <w:vAlign w:val="center"/>
            <w:tcMar>
              <w:top w:w="80" w:type="dxa"/>
              <w:bottom w:w="80" w:type="dxa"/>
              <w:left w:w="120" w:type="dxa"/>
              <w:right w:w="120" w:type="dxa"/>
            </w:tcMar>
            <w:shd w:fill="FFFFFF"/>
          </w:tcPr>
          <w:p>
            <w:r>
              <w:rPr>
                <w:rFonts w:ascii="Calibri" w:hAnsi="Calibri"/>
                <w:sz w:val="19"/>
              </w:rPr>
              <w:t>0.036 (3.6%)</w:t>
            </w:r>
          </w:p>
        </w:tc>
        <w:tc>
          <w:tcPr>
            <w:tcW w:type="dxa" w:w="1872"/>
            <w:vAlign w:val="center"/>
            <w:tcMar>
              <w:top w:w="80" w:type="dxa"/>
              <w:bottom w:w="80" w:type="dxa"/>
              <w:left w:w="120" w:type="dxa"/>
              <w:right w:w="120" w:type="dxa"/>
            </w:tcMar>
            <w:shd w:fill="FFFFFF"/>
          </w:tcPr>
          <w:p>
            <w:r>
              <w:rPr>
                <w:rFonts w:ascii="Calibri" w:hAnsi="Calibri"/>
                <w:sz w:val="19"/>
              </w:rPr>
              <w:t>0.021 (2.1%)</w:t>
            </w:r>
          </w:p>
        </w:tc>
        <w:tc>
          <w:tcPr>
            <w:tcW w:type="dxa" w:w="1872"/>
            <w:vAlign w:val="center"/>
            <w:tcMar>
              <w:top w:w="80" w:type="dxa"/>
              <w:bottom w:w="80" w:type="dxa"/>
              <w:left w:w="120" w:type="dxa"/>
              <w:right w:w="120" w:type="dxa"/>
            </w:tcMar>
            <w:shd w:fill="FFFFFF"/>
          </w:tcPr>
          <w:p>
            <w:r>
              <w:rPr>
                <w:rFonts w:ascii="Calibri" w:hAnsi="Calibri"/>
                <w:sz w:val="19"/>
              </w:rPr>
              <w:t>Compliant (Gap &lt; 10%)</w:t>
            </w:r>
          </w:p>
        </w:tc>
      </w:tr>
      <w:tr>
        <w:trPr>
          <w:cantSplit/>
        </w:trPr>
        <w:tc>
          <w:tcPr>
            <w:tcW w:type="dxa" w:w="1872"/>
            <w:vAlign w:val="center"/>
            <w:tcMar>
              <w:top w:w="80" w:type="dxa"/>
              <w:bottom w:w="80" w:type="dxa"/>
              <w:left w:w="120" w:type="dxa"/>
              <w:right w:w="120" w:type="dxa"/>
            </w:tcMar>
            <w:shd w:fill="F2F5F9"/>
          </w:tcPr>
          <w:p>
            <w:r>
              <w:rPr>
                <w:rFonts w:ascii="Calibri" w:hAnsi="Calibri"/>
                <w:sz w:val="19"/>
              </w:rPr>
              <w:t>Age Group (AGE)</w:t>
            </w:r>
          </w:p>
        </w:tc>
        <w:tc>
          <w:tcPr>
            <w:tcW w:type="dxa" w:w="1872"/>
            <w:vAlign w:val="center"/>
            <w:tcMar>
              <w:top w:w="80" w:type="dxa"/>
              <w:bottom w:w="80" w:type="dxa"/>
              <w:left w:w="120" w:type="dxa"/>
              <w:right w:w="120" w:type="dxa"/>
            </w:tcMar>
            <w:shd w:fill="F2F5F9"/>
          </w:tcPr>
          <w:p>
            <w:r>
              <w:rPr>
                <w:rFonts w:ascii="Calibri" w:hAnsi="Calibri"/>
                <w:sz w:val="19"/>
              </w:rPr>
              <w:t>Age &lt;= 30 vs. Age &gt; 30</w:t>
            </w:r>
          </w:p>
        </w:tc>
        <w:tc>
          <w:tcPr>
            <w:tcW w:type="dxa" w:w="1872"/>
            <w:vAlign w:val="center"/>
            <w:tcMar>
              <w:top w:w="80" w:type="dxa"/>
              <w:bottom w:w="80" w:type="dxa"/>
              <w:left w:w="120" w:type="dxa"/>
              <w:right w:w="120" w:type="dxa"/>
            </w:tcMar>
            <w:shd w:fill="F2F5F9"/>
          </w:tcPr>
          <w:p>
            <w:r>
              <w:rPr>
                <w:rFonts w:ascii="Calibri" w:hAnsi="Calibri"/>
                <w:sz w:val="19"/>
              </w:rPr>
              <w:t>0.017 (1.7%)</w:t>
            </w:r>
          </w:p>
        </w:tc>
        <w:tc>
          <w:tcPr>
            <w:tcW w:type="dxa" w:w="1872"/>
            <w:vAlign w:val="center"/>
            <w:tcMar>
              <w:top w:w="80" w:type="dxa"/>
              <w:bottom w:w="80" w:type="dxa"/>
              <w:left w:w="120" w:type="dxa"/>
              <w:right w:w="120" w:type="dxa"/>
            </w:tcMar>
            <w:shd w:fill="F2F5F9"/>
          </w:tcPr>
          <w:p>
            <w:r>
              <w:rPr>
                <w:rFonts w:ascii="Calibri" w:hAnsi="Calibri"/>
                <w:sz w:val="19"/>
              </w:rPr>
              <w:t>0.035 (3.5%)</w:t>
            </w:r>
          </w:p>
        </w:tc>
        <w:tc>
          <w:tcPr>
            <w:tcW w:type="dxa" w:w="1872"/>
            <w:vAlign w:val="center"/>
            <w:tcMar>
              <w:top w:w="80" w:type="dxa"/>
              <w:bottom w:w="80" w:type="dxa"/>
              <w:left w:w="120" w:type="dxa"/>
              <w:right w:w="120" w:type="dxa"/>
            </w:tcMar>
            <w:shd w:fill="F2F5F9"/>
          </w:tcPr>
          <w:p>
            <w:r>
              <w:rPr>
                <w:rFonts w:ascii="Calibri" w:hAnsi="Calibri"/>
                <w:sz w:val="19"/>
              </w:rPr>
              <w:t>Compliant (Gap &lt; 10%)</w:t>
            </w:r>
          </w:p>
        </w:tc>
      </w:tr>
    </w:tbl>
    <w:p>
      <w:r>
        <w:drawing>
          <wp:inline xmlns:a="http://schemas.openxmlformats.org/drawingml/2006/main" xmlns:pic="http://schemas.openxmlformats.org/drawingml/2006/picture">
            <wp:extent cx="4754880" cy="2971800"/>
            <wp:docPr id="6" name="Picture 6"/>
            <wp:cNvGraphicFramePr>
              <a:graphicFrameLocks noChangeAspect="1"/>
            </wp:cNvGraphicFramePr>
            <a:graphic>
              <a:graphicData uri="http://schemas.openxmlformats.org/drawingml/2006/picture">
                <pic:pic>
                  <pic:nvPicPr>
                    <pic:cNvPr id="0" name="fairness_audit_disparities.png"/>
                    <pic:cNvPicPr/>
                  </pic:nvPicPr>
                  <pic:blipFill>
                    <a:blip r:embed="rId16"/>
                    <a:stretch>
                      <a:fillRect/>
                    </a:stretch>
                  </pic:blipFill>
                  <pic:spPr>
                    <a:xfrm>
                      <a:off x="0" y="0"/>
                      <a:ext cx="4754880" cy="2971800"/>
                    </a:xfrm>
                    <a:prstGeom prst="rect"/>
                  </pic:spPr>
                </pic:pic>
              </a:graphicData>
            </a:graphic>
          </wp:inline>
        </w:drawing>
      </w:r>
    </w:p>
    <w:p>
      <w:pPr>
        <w:jc w:val="center"/>
      </w:pPr>
      <w:r>
        <w:rPr>
          <w:i/>
          <w:sz w:val="18"/>
        </w:rPr>
        <w:t>Figure 6: Ethical fairness audit demonstrating disparity gaps well below the 10% regulatory threshold.</w:t>
      </w:r>
    </w:p>
    <w:p>
      <w:pPr>
        <w:pStyle w:val="Heading1"/>
      </w:pPr>
      <w:r>
        <w:rPr>
          <w:color w:val="1F4E79"/>
        </w:rPr>
        <w:t>Appendix: Reproducibility Guide &amp; GitHub Repository</w:t>
      </w:r>
    </w:p>
    <w:p>
      <w:pPr>
        <w:pStyle w:val="Heading2"/>
      </w:pPr>
      <w:r>
        <w:t>A.1 Open-Source GitHub Repository</w:t>
      </w:r>
    </w:p>
    <w:p>
      <w:r>
        <w:t>All code, configuration files, trained artifact tables, high-resolution figures, and Jupyter notebooks developed for this coursework have been curated and deposited in the project GitHub repository:</w:t>
        <w:br/>
      </w:r>
    </w:p>
    <w:p>
      <w:r>
        <w:rPr>
          <w:b/>
          <w:color w:val="1F4E79"/>
        </w:rPr>
        <w:t>GitHub Repository URL: https://github.com/KaviduIsura/Research-Credit-Risk-Analysis</w:t>
      </w:r>
    </w:p>
    <w:p>
      <w:pPr>
        <w:pStyle w:val="Heading2"/>
      </w:pPr>
      <w:r>
        <w:t>A.2 Directory Manifest &amp; File Structure</w:t>
      </w:r>
    </w:p>
    <w:p>
      <w:r>
        <w:t>The repository contains the following standardized directory structure:</w:t>
        <w:br/>
        <w:t>• notebooks/credit_risk_paper_reproduction.ipynb: Interactive baseline notebook replicating Mapfumo &amp; Shongwe (2026).</w:t>
        <w:br/>
        <w:t>• notebooks/credit_risk_enhanced_model.ipynb: Interactive enhanced notebook implementing all Phase 1 corrections.</w:t>
        <w:br/>
        <w:t>• run_all.py: Standalone command-line runner for the baseline paper reproduction benchmark.</w:t>
        <w:br/>
        <w:t>• run_enhanced.py: Standalone command-line runner for the enhanced model and 3-way comparative benchmark.</w:t>
        <w:br/>
        <w:t>• src/data_loader.py: Ingestion routines for German (1,000 rows) and Taiwan (30,000 rows) datasets.</w:t>
        <w:br/>
        <w:t>• src/enhanced_preprocessors.py: Cleaners for 35 duplicate rows, schema remapping, and signed SkewLog transformer.</w:t>
        <w:br/>
        <w:t>• src/enhanced_pipelines.py: SMOTE-NC integration, cost-weight estimators, and in-fold threshold optimizer.</w:t>
        <w:br/>
        <w:t>• src/statistical_tests.py: Nadeau-Bengio corrected resampled t-test implementation.</w:t>
        <w:br/>
        <w:t>• src/fairness_calibration.py: Brier score reliability curves and demographic fairness auditing functions.</w:t>
        <w:br/>
        <w:t>• src/visualizations.py: High-resolution publication charting functions.</w:t>
        <w:br/>
        <w:t>• results/tables/: Output CSVs (three_way_comparison_summary.csv, statistical_significance_tests.csv, etc.).</w:t>
        <w:br/>
        <w:t>• results/figures/: 300 DPI comparative bar charts, calibration curves, and fairness disparity plots.</w:t>
      </w:r>
    </w:p>
    <w:p>
      <w:pPr>
        <w:pStyle w:val="Heading2"/>
      </w:pPr>
      <w:r>
        <w:t>A.3 Step-by-Step Execution Guide</w:t>
      </w:r>
    </w:p>
    <w:p>
      <w:r>
        <w:t>Option 1: Interactive Execution in VS Code / Jupyter Lab</w:t>
        <w:br/>
        <w:t>1. Open either notebooks/credit_risk_paper_reproduction.ipynb or notebooks/credit_risk_enhanced_model.ipynb.</w:t>
        <w:br/>
        <w:t>2. In the top-right kernel selector, select 'Python Environments...' -&gt; 'credit-risk-phase2' (.venv).</w:t>
        <w:br/>
        <w:t>3. Click 'Run All' to execute all cells sequentially.</w:t>
        <w:br/>
        <w:br/>
        <w:t>Option 2: Standalone Execution via PowerShell Terminal</w:t>
        <w:br/>
        <w:t>1. Open PowerShell in the project directory:</w:t>
        <w:br/>
        <w:t xml:space="preserve">   cd 'credit-risk phase'</w:t>
        <w:br/>
        <w:t>2. Execute the enhanced pipeline in one command:</w:t>
        <w:br/>
        <w:t xml:space="preserve">   .\.venv\Scripts\python.exe run_enhanced.py</w:t>
        <w:br/>
        <w:t>All tables and figures will automatically refresh in results/.</w:t>
      </w:r>
    </w:p>
    <w:p>
      <w:pPr>
        <w:pStyle w:val="Heading2"/>
      </w:pPr>
      <w:r>
        <w:t>A.4 Computational Environment &amp; System Specifications</w:t>
      </w:r>
    </w:p>
    <w:p>
      <w:r>
        <w:t>• Operating System: Windows 11 Enterprise (64-bit)</w:t>
        <w:br/>
        <w:t>• Python Version: 3.12 (.venv)</w:t>
        <w:br/>
        <w:t>• Primary Dependencies: scikit-learn 1.4+, imbalanced-learn 0.12+, xgboost 3.4+, torch 2.14+, python-docx 1.2+, matplotlib 3.8+</w:t>
        <w:br/>
        <w:t>• Random Seed: 42 (Enforced globally across all folds and resamplers)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Coursework Option A | Academic &amp; Empirical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Comparative Technical Report: Credit Risk Prediction Benchmarking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