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99EF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26"/>
        </w:rPr>
        <w:t>NATIONAL INSTITUTE OF BUSINESS MANAGEMENT</w:t>
      </w:r>
      <w:r w:rsidRPr="004355B8">
        <w:rPr>
          <w:rFonts w:ascii="Times New Roman" w:hAnsi="Times New Roman" w:cs="Times New Roman"/>
          <w:b/>
          <w:color w:val="000000" w:themeColor="text1"/>
          <w:sz w:val="26"/>
        </w:rPr>
        <w:br/>
        <w:t>KANDY INNOVATION CENTRE</w:t>
      </w:r>
      <w:r w:rsidRPr="004355B8">
        <w:rPr>
          <w:rFonts w:ascii="Times New Roman" w:hAnsi="Times New Roman" w:cs="Times New Roman"/>
          <w:b/>
          <w:color w:val="000000" w:themeColor="text1"/>
          <w:sz w:val="26"/>
        </w:rPr>
        <w:br/>
      </w:r>
    </w:p>
    <w:p w14:paraId="0864D77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rPr>
        <w:t>BSc (Hons) in Artificial Intelligence &amp; Data Science</w:t>
      </w:r>
      <w:r w:rsidRPr="004355B8">
        <w:rPr>
          <w:rFonts w:ascii="Times New Roman" w:hAnsi="Times New Roman" w:cs="Times New Roman"/>
          <w:color w:val="000000" w:themeColor="text1"/>
        </w:rPr>
        <w:br/>
        <w:t>Module: Machine Learning and Related Applications</w:t>
      </w:r>
      <w:r w:rsidRPr="004355B8">
        <w:rPr>
          <w:rFonts w:ascii="Times New Roman" w:hAnsi="Times New Roman" w:cs="Times New Roman"/>
          <w:color w:val="000000" w:themeColor="text1"/>
        </w:rPr>
        <w:br/>
      </w:r>
    </w:p>
    <w:p w14:paraId="1FAB4A6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32"/>
        </w:rPr>
        <w:t>TECHNICAL REVIEW REPORT &amp; REPRODUCIBILITY AUDIT:</w:t>
      </w:r>
      <w:r w:rsidRPr="004355B8">
        <w:rPr>
          <w:rFonts w:ascii="Times New Roman" w:hAnsi="Times New Roman" w:cs="Times New Roman"/>
          <w:b/>
          <w:color w:val="000000" w:themeColor="text1"/>
          <w:sz w:val="32"/>
        </w:rPr>
        <w:br/>
        <w:t>PERFORMANCE EVALUATION OF MACHINE LEARNING AND DEEP LEARNING MODELS FOR CREDIT RISK PREDICTION</w:t>
      </w:r>
      <w:r w:rsidRPr="004355B8">
        <w:rPr>
          <w:rFonts w:ascii="Times New Roman" w:hAnsi="Times New Roman" w:cs="Times New Roman"/>
          <w:b/>
          <w:color w:val="000000" w:themeColor="text1"/>
          <w:sz w:val="32"/>
        </w:rPr>
        <w:br/>
      </w:r>
    </w:p>
    <w:p w14:paraId="0952E8A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i/>
          <w:color w:val="000000" w:themeColor="text1"/>
        </w:rPr>
        <w:t>Student Name: S M K I Wijethunga  |  Registration Number: KIC-BSCCSAI-251P-034</w:t>
      </w:r>
      <w:r w:rsidRPr="004355B8">
        <w:rPr>
          <w:rFonts w:ascii="Times New Roman" w:hAnsi="Times New Roman" w:cs="Times New Roman"/>
          <w:i/>
          <w:color w:val="000000" w:themeColor="text1"/>
        </w:rPr>
        <w:br/>
        <w:t>Date: October 2026</w:t>
      </w:r>
      <w:r w:rsidRPr="004355B8">
        <w:rPr>
          <w:rFonts w:ascii="Times New Roman" w:hAnsi="Times New Roman" w:cs="Times New Roman"/>
          <w:i/>
          <w:color w:val="000000" w:themeColor="text1"/>
        </w:rPr>
        <w:br/>
      </w:r>
    </w:p>
    <w:p w14:paraId="4CB50DB6" w14:textId="77777777" w:rsidR="00EB757C" w:rsidRPr="004355B8" w:rsidRDefault="00EB757C">
      <w:pPr>
        <w:spacing w:after="240"/>
        <w:rPr>
          <w:rFonts w:ascii="Times New Roman" w:hAnsi="Times New Roman" w:cs="Times New Roman"/>
          <w:color w:val="000000" w:themeColor="text1"/>
        </w:rPr>
      </w:pPr>
    </w:p>
    <w:p w14:paraId="1797CA80" w14:textId="77777777" w:rsidR="004355B8" w:rsidRPr="004355B8" w:rsidRDefault="004355B8">
      <w:pPr>
        <w:spacing w:after="240"/>
        <w:rPr>
          <w:rFonts w:ascii="Times New Roman" w:hAnsi="Times New Roman" w:cs="Times New Roman"/>
          <w:color w:val="000000" w:themeColor="text1"/>
        </w:rPr>
      </w:pPr>
    </w:p>
    <w:p w14:paraId="015F32C0" w14:textId="77777777" w:rsidR="004355B8" w:rsidRPr="004355B8" w:rsidRDefault="004355B8">
      <w:pPr>
        <w:spacing w:after="240"/>
        <w:rPr>
          <w:rFonts w:ascii="Times New Roman" w:hAnsi="Times New Roman" w:cs="Times New Roman"/>
          <w:color w:val="000000" w:themeColor="text1"/>
        </w:rPr>
      </w:pPr>
    </w:p>
    <w:p w14:paraId="49BC45A4" w14:textId="77777777" w:rsidR="004355B8" w:rsidRPr="004355B8" w:rsidRDefault="004355B8">
      <w:pPr>
        <w:spacing w:after="240"/>
        <w:rPr>
          <w:rFonts w:ascii="Times New Roman" w:hAnsi="Times New Roman" w:cs="Times New Roman"/>
          <w:color w:val="000000" w:themeColor="text1"/>
        </w:rPr>
      </w:pPr>
    </w:p>
    <w:p w14:paraId="65A0B54A" w14:textId="77777777" w:rsidR="004355B8" w:rsidRPr="004355B8" w:rsidRDefault="004355B8">
      <w:pPr>
        <w:spacing w:after="240"/>
        <w:rPr>
          <w:rFonts w:ascii="Times New Roman" w:hAnsi="Times New Roman" w:cs="Times New Roman"/>
          <w:color w:val="000000" w:themeColor="text1"/>
        </w:rPr>
      </w:pPr>
    </w:p>
    <w:p w14:paraId="7FFB8D54" w14:textId="77777777" w:rsidR="004355B8" w:rsidRPr="004355B8" w:rsidRDefault="004355B8">
      <w:pPr>
        <w:spacing w:after="240"/>
        <w:rPr>
          <w:rFonts w:ascii="Times New Roman" w:hAnsi="Times New Roman" w:cs="Times New Roman"/>
          <w:color w:val="000000" w:themeColor="text1"/>
        </w:rPr>
      </w:pPr>
    </w:p>
    <w:p w14:paraId="244A4F13" w14:textId="77777777" w:rsidR="004355B8" w:rsidRPr="004355B8" w:rsidRDefault="004355B8">
      <w:pPr>
        <w:spacing w:after="240"/>
        <w:rPr>
          <w:rFonts w:ascii="Times New Roman" w:hAnsi="Times New Roman" w:cs="Times New Roman"/>
          <w:color w:val="000000" w:themeColor="text1"/>
        </w:rPr>
      </w:pPr>
    </w:p>
    <w:p w14:paraId="0EC90926" w14:textId="77777777" w:rsidR="004355B8" w:rsidRPr="004355B8" w:rsidRDefault="004355B8">
      <w:pPr>
        <w:spacing w:after="240"/>
        <w:rPr>
          <w:rFonts w:ascii="Times New Roman" w:hAnsi="Times New Roman" w:cs="Times New Roman"/>
          <w:color w:val="000000" w:themeColor="text1"/>
        </w:rPr>
      </w:pPr>
    </w:p>
    <w:p w14:paraId="6B2D1339" w14:textId="77777777" w:rsidR="004355B8" w:rsidRPr="004355B8" w:rsidRDefault="004355B8">
      <w:pPr>
        <w:spacing w:after="240"/>
        <w:rPr>
          <w:rFonts w:ascii="Times New Roman" w:hAnsi="Times New Roman" w:cs="Times New Roman"/>
          <w:color w:val="000000" w:themeColor="text1"/>
        </w:rPr>
      </w:pPr>
    </w:p>
    <w:p w14:paraId="3A327FB5" w14:textId="77777777" w:rsidR="004355B8" w:rsidRPr="004355B8" w:rsidRDefault="004355B8">
      <w:pPr>
        <w:spacing w:after="240"/>
        <w:rPr>
          <w:rFonts w:ascii="Times New Roman" w:hAnsi="Times New Roman" w:cs="Times New Roman"/>
          <w:color w:val="000000" w:themeColor="text1"/>
        </w:rPr>
      </w:pPr>
    </w:p>
    <w:p w14:paraId="23AE51E2" w14:textId="77777777" w:rsidR="004355B8" w:rsidRPr="004355B8" w:rsidRDefault="004355B8">
      <w:pPr>
        <w:spacing w:after="240"/>
        <w:rPr>
          <w:rFonts w:ascii="Times New Roman" w:hAnsi="Times New Roman" w:cs="Times New Roman"/>
          <w:color w:val="000000" w:themeColor="text1"/>
        </w:rPr>
      </w:pPr>
    </w:p>
    <w:p w14:paraId="0A609861" w14:textId="77777777" w:rsidR="004355B8" w:rsidRPr="004355B8" w:rsidRDefault="004355B8">
      <w:pPr>
        <w:spacing w:after="240"/>
        <w:rPr>
          <w:rFonts w:ascii="Times New Roman" w:hAnsi="Times New Roman" w:cs="Times New Roman"/>
          <w:color w:val="000000" w:themeColor="text1"/>
        </w:rPr>
      </w:pPr>
    </w:p>
    <w:p w14:paraId="077409C7" w14:textId="77777777" w:rsidR="004355B8" w:rsidRPr="004355B8" w:rsidRDefault="004355B8">
      <w:pPr>
        <w:spacing w:after="240"/>
        <w:rPr>
          <w:rFonts w:ascii="Times New Roman" w:hAnsi="Times New Roman" w:cs="Times New Roman"/>
          <w:color w:val="000000" w:themeColor="text1"/>
        </w:rPr>
      </w:pPr>
    </w:p>
    <w:p w14:paraId="58DBE94A"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lastRenderedPageBreak/>
        <w:t>1. Executive Summary &amp; Overview of the Technical Review</w:t>
      </w:r>
    </w:p>
    <w:p w14:paraId="0791A47D"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This technical review report provides a comprehensive academic critique, practical baseline implementation, and methodological audit of the research paper titled 'Performance Evaluation of Machine Learning and Deep Learning Models for Credit Risk Prediction' authored by Irvine Mapfumo and Thokozani Shongwe (published in the Journal of Risk and Financial Management, 2026, Vol. 19, Art. 210).</w:t>
      </w:r>
    </w:p>
    <w:p w14:paraId="795FF266" w14:textId="238E5C64"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The authors evaluated ten supervised machine learning and deep learning classifiers</w:t>
      </w:r>
      <w:r w:rsidR="004355B8">
        <w:rPr>
          <w:rFonts w:ascii="Times New Roman" w:hAnsi="Times New Roman" w:cs="Times New Roman"/>
          <w:color w:val="000000" w:themeColor="text1"/>
        </w:rPr>
        <w:t xml:space="preserve"> </w:t>
      </w:r>
      <w:r w:rsidRPr="004355B8">
        <w:rPr>
          <w:rFonts w:ascii="Times New Roman" w:hAnsi="Times New Roman" w:cs="Times New Roman"/>
          <w:color w:val="000000" w:themeColor="text1"/>
        </w:rPr>
        <w:t>spanning Logistic Regression, Support Vector Machines (SVM), Decision Trees, Random Forests, AdaBoost, XGBoost, Multilayer Perceptrons (MLP), Convolutional Neural Networks (CNN), Long Short-Term Memory networks (LSTM), and Gated Recurrent Units (GRU)</w:t>
      </w:r>
      <w:r w:rsidR="004355B8">
        <w:rPr>
          <w:rFonts w:ascii="Times New Roman" w:hAnsi="Times New Roman" w:cs="Times New Roman"/>
          <w:color w:val="000000" w:themeColor="text1"/>
        </w:rPr>
        <w:t xml:space="preserve"> </w:t>
      </w:r>
      <w:r w:rsidRPr="004355B8">
        <w:rPr>
          <w:rFonts w:ascii="Times New Roman" w:hAnsi="Times New Roman" w:cs="Times New Roman"/>
          <w:color w:val="000000" w:themeColor="text1"/>
        </w:rPr>
        <w:t>in conjunction with three data resampling strategies: Synthetic Minority Over</w:t>
      </w:r>
      <w:r w:rsidR="004355B8">
        <w:rPr>
          <w:rFonts w:ascii="Times New Roman" w:hAnsi="Times New Roman" w:cs="Times New Roman"/>
          <w:color w:val="000000" w:themeColor="text1"/>
        </w:rPr>
        <w:t xml:space="preserve"> </w:t>
      </w:r>
      <w:r w:rsidRPr="004355B8">
        <w:rPr>
          <w:rFonts w:ascii="Times New Roman" w:hAnsi="Times New Roman" w:cs="Times New Roman"/>
          <w:color w:val="000000" w:themeColor="text1"/>
        </w:rPr>
        <w:t>sampling Technique (SMOTE), Edited Nearest Neighbors (ENN), and the hybrid SMOTE-ENN. Their investigation was conducted across two benchmark tabular datasets: the Statlog German Credit dataset (1,000 instances) and the Taiwan Credit Card Default dataset (30,000 instances).</w:t>
      </w:r>
    </w:p>
    <w:p w14:paraId="70E32C96"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While the authors asserted that a hybrid deep learning architecture (MLP + SMOTE-ENN) achieved an extraordinary F1-score of 0.937 on German Credit and Random Forest + SMOTE-ENN achieved 0.610 on Taiwan Credit, our rigorous reproduction and methodological audit uncover fundamental flaws in their data pipeline. Specifically, the authors failed to report categorical encoding techniques, omitted continuous feature scaling for gradient and distance-based algorithms, ignored duplicate rows and undocumented categorical codes, applied an arbitrary 0.5 decision threshold that ignored commercial cost asymmetries, and published point estimates from a single 10-fold cross-validation split without statistical hypothesis testing.</w:t>
      </w:r>
    </w:p>
    <w:p w14:paraId="5632684F" w14:textId="7434BF53"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 xml:space="preserve">Crucially, our controlled ablation experiments provide empirical proof that the </w:t>
      </w:r>
      <w:proofErr w:type="gramStart"/>
      <w:r w:rsidRPr="004355B8">
        <w:rPr>
          <w:rFonts w:ascii="Times New Roman" w:hAnsi="Times New Roman" w:cs="Times New Roman"/>
          <w:color w:val="000000" w:themeColor="text1"/>
        </w:rPr>
        <w:t>authors'</w:t>
      </w:r>
      <w:proofErr w:type="gramEnd"/>
      <w:r w:rsidRPr="004355B8">
        <w:rPr>
          <w:rFonts w:ascii="Times New Roman" w:hAnsi="Times New Roman" w:cs="Times New Roman"/>
          <w:color w:val="000000" w:themeColor="text1"/>
        </w:rPr>
        <w:t xml:space="preserve"> claimed German F1-score of 0.937 is mathematically unachievable under leak</w:t>
      </w:r>
      <w:r w:rsidR="004355B8">
        <w:rPr>
          <w:rFonts w:ascii="Times New Roman" w:hAnsi="Times New Roman" w:cs="Times New Roman"/>
          <w:color w:val="000000" w:themeColor="text1"/>
        </w:rPr>
        <w:t xml:space="preserve"> </w:t>
      </w:r>
      <w:r w:rsidRPr="004355B8">
        <w:rPr>
          <w:rFonts w:ascii="Times New Roman" w:hAnsi="Times New Roman" w:cs="Times New Roman"/>
          <w:color w:val="000000" w:themeColor="text1"/>
        </w:rPr>
        <w:t>free cross</w:t>
      </w:r>
      <w:r w:rsidR="004355B8">
        <w:rPr>
          <w:rFonts w:ascii="Times New Roman" w:hAnsi="Times New Roman" w:cs="Times New Roman"/>
          <w:color w:val="000000" w:themeColor="text1"/>
        </w:rPr>
        <w:t xml:space="preserve"> </w:t>
      </w:r>
      <w:r w:rsidRPr="004355B8">
        <w:rPr>
          <w:rFonts w:ascii="Times New Roman" w:hAnsi="Times New Roman" w:cs="Times New Roman"/>
          <w:color w:val="000000" w:themeColor="text1"/>
        </w:rPr>
        <w:t>validation and was the direct consequence of pre-split synthetic oversampling leakage. By correcting these pipeline deficiencies, incorporating in-fold standardization, categorical-aware SMOTE-NC, cost-sensitive threshold tuning under the German 5:1 cost matrix, and probability calibration, this review delivers a methodologically sound, reproducible, and production-ready machine learning framework.</w:t>
      </w:r>
    </w:p>
    <w:p w14:paraId="66D8753D"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2. Phase 1 Conceptual Mapping: Problem Formulation &amp; Pipeline Analysis</w:t>
      </w:r>
    </w:p>
    <w:p w14:paraId="19169D7F"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2.1 Problem Formulation and Machine Learning Task</w:t>
      </w:r>
    </w:p>
    <w:p w14:paraId="13A4E00A"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Credit risk assessment is formulated as a supervised binary classification problem. For an applicant described by an input vector x in X subset of R^d, the learning system seeks an optimal mapping function f: X -&gt; {0, 1} minimizing expected misclassification loss, where y = 1 denotes bad credit or loan default (the minority positive class) and y = 0 denotes good credit or repayment (the majority negative class).</w:t>
      </w:r>
    </w:p>
    <w:p w14:paraId="37339D60"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Supervised Learning Nature: </w:t>
      </w:r>
      <w:r w:rsidRPr="004355B8">
        <w:rPr>
          <w:rFonts w:ascii="Times New Roman" w:hAnsi="Times New Roman" w:cs="Times New Roman"/>
          <w:color w:val="000000" w:themeColor="text1"/>
        </w:rPr>
        <w:t>All historical loan applications contain verifiable ground-truth repayment outcomes. The task requires learning decision boundaries separating creditworthy from defaulting borrowers.</w:t>
      </w:r>
    </w:p>
    <w:p w14:paraId="52293920"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Class Imbalance Severity: </w:t>
      </w:r>
      <w:r w:rsidRPr="004355B8">
        <w:rPr>
          <w:rFonts w:ascii="Times New Roman" w:hAnsi="Times New Roman" w:cs="Times New Roman"/>
          <w:color w:val="000000" w:themeColor="text1"/>
        </w:rPr>
        <w:t xml:space="preserve">Both benchmark datasets exhibit substantial class imbalance. German Credit contains 300 defaults out of 1,000 records (30.0% minority class), while Taiwan Credit </w:t>
      </w:r>
      <w:r w:rsidRPr="004355B8">
        <w:rPr>
          <w:rFonts w:ascii="Times New Roman" w:hAnsi="Times New Roman" w:cs="Times New Roman"/>
          <w:color w:val="000000" w:themeColor="text1"/>
        </w:rPr>
        <w:lastRenderedPageBreak/>
        <w:t>contains 6,636 defaults out of 30,000 records (22.1% minority class). A trivial majority-class classifier achieves 70.0% and 77.9% accuracy respectively, while delivering 0% recall on defaulting borrowers.</w:t>
      </w:r>
    </w:p>
    <w:p w14:paraId="128164E2"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Commercial Decision Context: </w:t>
      </w:r>
      <w:r w:rsidRPr="004355B8">
        <w:rPr>
          <w:rFonts w:ascii="Times New Roman" w:hAnsi="Times New Roman" w:cs="Times New Roman"/>
          <w:color w:val="000000" w:themeColor="text1"/>
        </w:rPr>
        <w:t>In commercial credit scoring, classification outputs directly govern loan origination, interest rate pricing, and credit limit allocations. The risk of false negatives (approving a defaulting borrower) entails severe capital loss, whereas false positives (rejecting a creditworthy applicant) merely causes lost interest revenue.</w:t>
      </w:r>
    </w:p>
    <w:p w14:paraId="0907E6EE"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2.2 Dataset Composition, Exploratory Data Analysis &amp; Statistical Aspects</w:t>
      </w:r>
    </w:p>
    <w:p w14:paraId="0F32EE1D"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A rigorous statistical audit of the raw UCI datasets demonstrates that the feature distributions violate Gaussian normality assumptions and exhibit severe variances across dimensions:</w:t>
      </w:r>
    </w:p>
    <w:p w14:paraId="2FE5841C"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German Credit Feature Breakdown: </w:t>
      </w:r>
      <w:r w:rsidRPr="004355B8">
        <w:rPr>
          <w:rFonts w:ascii="Times New Roman" w:hAnsi="Times New Roman" w:cs="Times New Roman"/>
          <w:color w:val="000000" w:themeColor="text1"/>
        </w:rPr>
        <w:t>20 input features comprising 13 categorical attributes (e.g., Checking Account Status, Credit History, Purpose, Housing) and 7 numerical attributes (Duration, Credit Amount, Age, Installment Rate, Residence Duration, Existing Credits, Number of Dependents).</w:t>
      </w:r>
    </w:p>
    <w:p w14:paraId="1309FB25"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Taiwan Credit Feature Breakdown: </w:t>
      </w:r>
      <w:r w:rsidRPr="004355B8">
        <w:rPr>
          <w:rFonts w:ascii="Times New Roman" w:hAnsi="Times New Roman" w:cs="Times New Roman"/>
          <w:color w:val="000000" w:themeColor="text1"/>
        </w:rPr>
        <w:t>23 input features comprising 3 categorical demographic attributes (SEX, EDUCATION, MARRIAGE) and 20 numerical attributes, including credit limit (LIMIT_BAL), AGE, 6-month historical repayment statuses (PAY_1 to PAY_6), monthly bill amounts (BILL_AMT1 to BILL_AMT6), and monthly payment amounts (PAY_AMT1 to PAY_AMT6).</w:t>
      </w:r>
    </w:p>
    <w:p w14:paraId="00F46D2C"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Non-Normality &amp; Skewness: </w:t>
      </w:r>
      <w:r w:rsidRPr="004355B8">
        <w:rPr>
          <w:rFonts w:ascii="Times New Roman" w:hAnsi="Times New Roman" w:cs="Times New Roman"/>
          <w:color w:val="000000" w:themeColor="text1"/>
        </w:rPr>
        <w:t>The Shapiro-Wilk test formally rejects Gaussian normality for all continuous attributes in both datasets (p &lt; 0.001). Continuous monetary variables exhibit extreme right-skewness and heavy kurtosis. In Taiwan Credit, PAY_AMT2 displays a skewness coefficient of 30.5 and excess kurtosis of 1,641.4. In German Credit, Credit Amount displays a skewness coefficient of 1.95 and kurtosis of 4.27.</w:t>
      </w:r>
    </w:p>
    <w:p w14:paraId="3C0CE356"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Variance Disparities: </w:t>
      </w:r>
      <w:r w:rsidRPr="004355B8">
        <w:rPr>
          <w:rFonts w:ascii="Times New Roman" w:hAnsi="Times New Roman" w:cs="Times New Roman"/>
          <w:color w:val="000000" w:themeColor="text1"/>
        </w:rPr>
        <w:t>Feature variances range from 0.13 (German Number of Dependents) to 7.97 x 10^6 (German Credit Amount) and 1.68 x 10^10 (Taiwan LIMIT_BAL). In distance-based algorithms (k-NN, SMOTE, ENN) and gradient descent architectures (MLP, Logistic Regression), unscaled high-variance monetary features overpower smaller ordinal variables, distorting Euclidean distance neighborhoods.</w:t>
      </w:r>
    </w:p>
    <w:p w14:paraId="557A367B"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2.3 Data Hygiene and Cleaning Audit</w:t>
      </w:r>
    </w:p>
    <w:p w14:paraId="4C88E2A0"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Our audit revealed several data quality anomalies in the raw datasets that were completely unaddressed in the published paper:</w:t>
      </w:r>
    </w:p>
    <w:p w14:paraId="3A6AFB14"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Exact Duplicate Rows: </w:t>
      </w:r>
      <w:r w:rsidRPr="004355B8">
        <w:rPr>
          <w:rFonts w:ascii="Times New Roman" w:hAnsi="Times New Roman" w:cs="Times New Roman"/>
          <w:color w:val="000000" w:themeColor="text1"/>
        </w:rPr>
        <w:t>The Taiwan dataset contains 35 identical duplicate records after removing the arbitrary ID column. Leaving duplicate rows in the data risks cross-validation contamination where identical borrower profiles appear in both training and test splits.</w:t>
      </w:r>
    </w:p>
    <w:p w14:paraId="352EF7C5"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Undocumented Categorical Levels: </w:t>
      </w:r>
      <w:r w:rsidRPr="004355B8">
        <w:rPr>
          <w:rFonts w:ascii="Times New Roman" w:hAnsi="Times New Roman" w:cs="Times New Roman"/>
          <w:color w:val="000000" w:themeColor="text1"/>
        </w:rPr>
        <w:t>While the Taiwan data dictionary specifies EDUCATION codes 1 to 4 and MARRIAGE codes 1 to 3, the dataset contains undocumented EDUCATION codes of 0 (14 clients), 5 (280 clients), and 6 (51 clients), and MARRIAGE code 0 (54 clients). Furthermore, the primary repayment variable PAY_0 contains undocumented codes of -2 (2,759 clients) and 0 (14,737 clients; 49% of the sample). The authors did not describe how these codes were processed.</w:t>
      </w:r>
    </w:p>
    <w:p w14:paraId="65E421AC"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lastRenderedPageBreak/>
        <w:t xml:space="preserve">Chronological Nomenclature: </w:t>
      </w:r>
      <w:r w:rsidRPr="004355B8">
        <w:rPr>
          <w:rFonts w:ascii="Times New Roman" w:hAnsi="Times New Roman" w:cs="Times New Roman"/>
          <w:color w:val="000000" w:themeColor="text1"/>
        </w:rPr>
        <w:t>The first repayment feature is labeled PAY_0 while subsequent features are labeled PAY_2 to PAY_6. We rename PAY_0 to PAY_1 to maintain sequence consistency.</w:t>
      </w:r>
    </w:p>
    <w:p w14:paraId="7BECACE8"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3. Methodological Deconstruction &amp; Mathematical Critique of Authors' Work</w:t>
      </w:r>
    </w:p>
    <w:p w14:paraId="41B22FED"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3.1 Mathematical Formulation of Evaluated Classifiers</w:t>
      </w:r>
    </w:p>
    <w:p w14:paraId="6BE56372"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To rigorously evaluate the algorithms employed, we deconstruct their underlying mathematical formulations:</w:t>
      </w:r>
    </w:p>
    <w:p w14:paraId="5A251023" w14:textId="77777777" w:rsidR="00EB757C" w:rsidRPr="004355B8" w:rsidRDefault="00000000">
      <w:pPr>
        <w:keepNext/>
        <w:spacing w:before="160" w:after="40"/>
        <w:rPr>
          <w:rFonts w:ascii="Times New Roman" w:hAnsi="Times New Roman" w:cs="Times New Roman"/>
          <w:color w:val="000000" w:themeColor="text1"/>
        </w:rPr>
      </w:pPr>
      <w:r w:rsidRPr="004355B8">
        <w:rPr>
          <w:rFonts w:ascii="Times New Roman" w:hAnsi="Times New Roman" w:cs="Times New Roman"/>
          <w:b/>
          <w:color w:val="000000" w:themeColor="text1"/>
        </w:rPr>
        <w:t>1. Logistic Regression (Linear Probabilistic Baseline)</w:t>
      </w:r>
    </w:p>
    <w:p w14:paraId="5AE8F524"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Logistic Regression models posterior default probability via the sigmoid function:</w:t>
      </w:r>
      <w:r w:rsidRPr="004355B8">
        <w:rPr>
          <w:rFonts w:ascii="Times New Roman" w:hAnsi="Times New Roman" w:cs="Times New Roman"/>
          <w:color w:val="000000" w:themeColor="text1"/>
        </w:rPr>
        <w:br/>
        <w:t>P(y = 1 | x) = sigma(w^T x + b) = 1 / (1 + exp(-(w^T x + b)))</w:t>
      </w:r>
      <w:r w:rsidRPr="004355B8">
        <w:rPr>
          <w:rFonts w:ascii="Times New Roman" w:hAnsi="Times New Roman" w:cs="Times New Roman"/>
          <w:color w:val="000000" w:themeColor="text1"/>
        </w:rPr>
        <w:br/>
        <w:t>Trained by minimizing L2-regularized binary cross-entropy loss:</w:t>
      </w:r>
      <w:r w:rsidRPr="004355B8">
        <w:rPr>
          <w:rFonts w:ascii="Times New Roman" w:hAnsi="Times New Roman" w:cs="Times New Roman"/>
          <w:color w:val="000000" w:themeColor="text1"/>
        </w:rPr>
        <w:br/>
        <w:t>L(w, b) = - (1/N) * sum [ y_i * ln(p_i) + (1 - y_i) * ln(1 - p_i) ] + (lambda / 2) * ||w||^2</w:t>
      </w:r>
      <w:r w:rsidRPr="004355B8">
        <w:rPr>
          <w:rFonts w:ascii="Times New Roman" w:hAnsi="Times New Roman" w:cs="Times New Roman"/>
          <w:color w:val="000000" w:themeColor="text1"/>
        </w:rPr>
        <w:br/>
        <w:t>Because the objective is convex, gradient descent converges globally. However, feature scaling is strictly required; without standardization, penalty terms disproportionately shrink weights associated with smaller-scale features.</w:t>
      </w:r>
    </w:p>
    <w:p w14:paraId="36114B88" w14:textId="77777777" w:rsidR="00EB757C" w:rsidRPr="004355B8" w:rsidRDefault="00000000">
      <w:pPr>
        <w:keepNext/>
        <w:spacing w:before="160" w:after="40"/>
        <w:rPr>
          <w:rFonts w:ascii="Times New Roman" w:hAnsi="Times New Roman" w:cs="Times New Roman"/>
          <w:color w:val="000000" w:themeColor="text1"/>
        </w:rPr>
      </w:pPr>
      <w:r w:rsidRPr="004355B8">
        <w:rPr>
          <w:rFonts w:ascii="Times New Roman" w:hAnsi="Times New Roman" w:cs="Times New Roman"/>
          <w:b/>
          <w:color w:val="000000" w:themeColor="text1"/>
        </w:rPr>
        <w:t>2. Support Vector Machines (Maximum-Margin Classifier)</w:t>
      </w:r>
    </w:p>
    <w:p w14:paraId="508B77FF"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SVM seeks a separating hyperplane w^T phi(x) + b = 0 maximizing the geometric margin 2 / ||w|| subject to soft-margin slack penalties:</w:t>
      </w:r>
      <w:r w:rsidRPr="004355B8">
        <w:rPr>
          <w:rFonts w:ascii="Times New Roman" w:hAnsi="Times New Roman" w:cs="Times New Roman"/>
          <w:color w:val="000000" w:themeColor="text1"/>
        </w:rPr>
        <w:br/>
        <w:t>min_{w, b, xi} (1/2) * ||w||^2 + C * sum xi_i   subject to   y_i * (w^T phi(x_i) + b) &gt;= 1 - xi_i,   xi_i &gt;= 0</w:t>
      </w:r>
      <w:r w:rsidRPr="004355B8">
        <w:rPr>
          <w:rFonts w:ascii="Times New Roman" w:hAnsi="Times New Roman" w:cs="Times New Roman"/>
          <w:color w:val="000000" w:themeColor="text1"/>
        </w:rPr>
        <w:br/>
        <w:t>Under the Radial Basis Function (RBF) kernel K(x, x') = exp(-gamma * ||x - x'||^2), Euclidean distances between unscaled features cause high-variance monetary attributes to dictate kernel gram matrices.</w:t>
      </w:r>
    </w:p>
    <w:p w14:paraId="11875871" w14:textId="77777777" w:rsidR="00EB757C" w:rsidRPr="004355B8" w:rsidRDefault="00000000">
      <w:pPr>
        <w:keepNext/>
        <w:spacing w:before="160" w:after="40"/>
        <w:rPr>
          <w:rFonts w:ascii="Times New Roman" w:hAnsi="Times New Roman" w:cs="Times New Roman"/>
          <w:color w:val="000000" w:themeColor="text1"/>
        </w:rPr>
      </w:pPr>
      <w:r w:rsidRPr="004355B8">
        <w:rPr>
          <w:rFonts w:ascii="Times New Roman" w:hAnsi="Times New Roman" w:cs="Times New Roman"/>
          <w:b/>
          <w:color w:val="000000" w:themeColor="text1"/>
        </w:rPr>
        <w:t>3. Random Forest (Bootstrap Aggregation)</w:t>
      </w:r>
    </w:p>
    <w:p w14:paraId="1058A29F"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Random Forest builds an ensemble of B decorrelated decision trees. Each tree is trained on a bootstrap sample of N instances (containing approximately 1 - 1/e = 63.2% unique rows, with 36.8% serving as Out-of-Bag validation). At each split, candidate splits are restricted to a random feature subset m = sqrt(d). Split purity is evaluated via Gini Impurity:</w:t>
      </w:r>
      <w:r w:rsidRPr="004355B8">
        <w:rPr>
          <w:rFonts w:ascii="Times New Roman" w:hAnsi="Times New Roman" w:cs="Times New Roman"/>
          <w:color w:val="000000" w:themeColor="text1"/>
        </w:rPr>
        <w:br/>
        <w:t>Gini(D) = 1 - sum_{k=0}^1 p_k^2</w:t>
      </w:r>
      <w:r w:rsidRPr="004355B8">
        <w:rPr>
          <w:rFonts w:ascii="Times New Roman" w:hAnsi="Times New Roman" w:cs="Times New Roman"/>
          <w:color w:val="000000" w:themeColor="text1"/>
        </w:rPr>
        <w:br/>
        <w:t>Ensemble variance satisfies Var(f_RF) = rho * sigma^2 + ((1 - rho)/B) * sigma^2, where rho represents pairwise tree correlation. While Random Forests are invariant to monotonic scaling, applying SMOTE to encoded categories distorts tree split paths.</w:t>
      </w:r>
    </w:p>
    <w:p w14:paraId="336370C0" w14:textId="77777777" w:rsidR="00EB757C" w:rsidRPr="004355B8" w:rsidRDefault="00000000">
      <w:pPr>
        <w:keepNext/>
        <w:spacing w:before="160" w:after="40"/>
        <w:rPr>
          <w:rFonts w:ascii="Times New Roman" w:hAnsi="Times New Roman" w:cs="Times New Roman"/>
          <w:color w:val="000000" w:themeColor="text1"/>
        </w:rPr>
      </w:pPr>
      <w:r w:rsidRPr="004355B8">
        <w:rPr>
          <w:rFonts w:ascii="Times New Roman" w:hAnsi="Times New Roman" w:cs="Times New Roman"/>
          <w:b/>
          <w:color w:val="000000" w:themeColor="text1"/>
        </w:rPr>
        <w:t>4. Extreme Gradient Boosting (XGBoost)</w:t>
      </w:r>
    </w:p>
    <w:p w14:paraId="08E93811"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XGBoost minimizes a second-order Taylor expansion of empirical loss regularized by tree complexity:</w:t>
      </w:r>
      <w:r w:rsidRPr="004355B8">
        <w:rPr>
          <w:rFonts w:ascii="Times New Roman" w:hAnsi="Times New Roman" w:cs="Times New Roman"/>
          <w:color w:val="000000" w:themeColor="text1"/>
        </w:rPr>
        <w:br/>
        <w:t>Obj^(t) = sum_{i=1}^N [ g_i * f_t(x_i) + (1/2) * h_i * f_t(x_i)^2 ] + gamma * T + (lambda / 2) * sum_{j=1}^T w_j^2</w:t>
      </w:r>
      <w:r w:rsidRPr="004355B8">
        <w:rPr>
          <w:rFonts w:ascii="Times New Roman" w:hAnsi="Times New Roman" w:cs="Times New Roman"/>
          <w:color w:val="000000" w:themeColor="text1"/>
        </w:rPr>
        <w:br/>
        <w:t>where g_i = partial_y^hat l(y_i, y^hat_(t-1)) and h_i = partial^2_y^hat l(y_i, y^hat_(t-1)). Cost-sensitive learning is integrated via scale_pos_weight = N_neg / N_pos.</w:t>
      </w:r>
    </w:p>
    <w:p w14:paraId="76188E22" w14:textId="77777777" w:rsidR="00EB757C" w:rsidRPr="004355B8" w:rsidRDefault="00000000">
      <w:pPr>
        <w:keepNext/>
        <w:spacing w:before="160" w:after="40"/>
        <w:rPr>
          <w:rFonts w:ascii="Times New Roman" w:hAnsi="Times New Roman" w:cs="Times New Roman"/>
          <w:color w:val="000000" w:themeColor="text1"/>
        </w:rPr>
      </w:pPr>
      <w:r w:rsidRPr="004355B8">
        <w:rPr>
          <w:rFonts w:ascii="Times New Roman" w:hAnsi="Times New Roman" w:cs="Times New Roman"/>
          <w:b/>
          <w:color w:val="000000" w:themeColor="text1"/>
        </w:rPr>
        <w:lastRenderedPageBreak/>
        <w:t>5. Deep Learning Architectures (MLP, CNN, LSTM/GRU)</w:t>
      </w:r>
    </w:p>
    <w:p w14:paraId="2711A3C4"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Multi-Layer Perceptrons compute successive affine transformations h^(l) = phi(W^(l) h^(l-1) + b^(l)). In contrast, 1D-CNNs compute discrete convolutions under the explicit assumption of local spatial covariance: (x * k)_i = sum_j k_j * x_(i+j). LSTM and GRU architectures utilize gated recurrence (forget, input, and update gates) to capture temporal dependencies.</w:t>
      </w:r>
      <w:r w:rsidRPr="004355B8">
        <w:rPr>
          <w:rFonts w:ascii="Times New Roman" w:hAnsi="Times New Roman" w:cs="Times New Roman"/>
          <w:color w:val="000000" w:themeColor="text1"/>
        </w:rPr>
        <w:br/>
        <w:t>Critical Flaw: Tabular credit risk features possess neither spatial adjacency nor temporal ordering in the German dataset. The authors' application of 1D-CNN and LSTM to unordered tabular German attributes represents architectural misapplication.</w:t>
      </w:r>
    </w:p>
    <w:p w14:paraId="6AC461F4"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3.2 The Flawed SMOTE Categorical Interpolation</w:t>
      </w:r>
    </w:p>
    <w:p w14:paraId="0AEEBFFC"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The authors utilized standard SMOTE to balance minority defaults. Standard SMOTE synthesizes instances via linear interpolation:</w:t>
      </w:r>
      <w:r w:rsidRPr="004355B8">
        <w:rPr>
          <w:rFonts w:ascii="Times New Roman" w:hAnsi="Times New Roman" w:cs="Times New Roman"/>
          <w:color w:val="000000" w:themeColor="text1"/>
        </w:rPr>
        <w:br/>
        <w:t>x_new = x_i + lambda * (x_j - x_i),   lambda in [0, 1]</w:t>
      </w:r>
      <w:r w:rsidRPr="004355B8">
        <w:rPr>
          <w:rFonts w:ascii="Times New Roman" w:hAnsi="Times New Roman" w:cs="Times New Roman"/>
          <w:color w:val="000000" w:themeColor="text1"/>
        </w:rPr>
        <w:br/>
        <w:t>When applied to categorical features encoded as integers (e.g., Housing: 1=Rent, 2=Own, 3=Free), SMOTE interpolates: x_new = 1 + 0.4 * (2 - 1) = 1.4. This creates meaningless fractional categories that distort the hypothesis space. In our enhanced pipeline, we resolve this by deploying SMOTE-NC (Nominal Continuous), which applies the Value Difference Metric (VDM) across nominal categories and Euclidean distance strictly on continuous dimensions.</w:t>
      </w:r>
    </w:p>
    <w:p w14:paraId="0447E112"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4. Phase 2 Technical Application: Baseline Reproduction &amp; Enhanced Evaluation</w:t>
      </w:r>
    </w:p>
    <w:p w14:paraId="54921DB2"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In accordance with Option A of the coursework descriptor, we implemented both the baseline paper-style pipeline and our enhanced, leak-free pipeline across repeated stratified cross-validation. Table 4.1 presents the direct comparison between the authors' published headline results and our leak-free, threshold-tuned primary pipeline (XGBoost + fixed_none).</w:t>
      </w:r>
    </w:p>
    <w:p w14:paraId="048A0B50" w14:textId="77777777" w:rsidR="00EB757C" w:rsidRPr="004355B8" w:rsidRDefault="00000000">
      <w:pPr>
        <w:spacing w:before="160" w:after="80"/>
        <w:rPr>
          <w:rFonts w:ascii="Times New Roman" w:hAnsi="Times New Roman" w:cs="Times New Roman"/>
          <w:color w:val="000000" w:themeColor="text1"/>
        </w:rPr>
      </w:pPr>
      <w:r w:rsidRPr="004355B8">
        <w:rPr>
          <w:rFonts w:ascii="Times New Roman" w:hAnsi="Times New Roman" w:cs="Times New Roman"/>
          <w:b/>
          <w:color w:val="000000" w:themeColor="text1"/>
        </w:rPr>
        <w:t>Table 4.1: Direct Headline Benchmark Comparison (Authors' Best Published vs Our Leak-Free Pipeline)</w:t>
      </w:r>
    </w:p>
    <w:tbl>
      <w:tblPr>
        <w:tblW w:w="0" w:type="auto"/>
        <w:jc w:val="center"/>
        <w:tblLook w:val="04A0" w:firstRow="1" w:lastRow="0" w:firstColumn="1" w:lastColumn="0" w:noHBand="0" w:noVBand="1"/>
      </w:tblPr>
      <w:tblGrid>
        <w:gridCol w:w="1560"/>
        <w:gridCol w:w="1560"/>
        <w:gridCol w:w="1560"/>
        <w:gridCol w:w="1560"/>
        <w:gridCol w:w="1560"/>
        <w:gridCol w:w="1560"/>
      </w:tblGrid>
      <w:tr w:rsidR="00EB757C" w:rsidRPr="004355B8" w14:paraId="521E6E4B" w14:textId="77777777">
        <w:trPr>
          <w:jc w:val="center"/>
        </w:trPr>
        <w:tc>
          <w:tcPr>
            <w:tcW w:w="1560" w:type="dxa"/>
            <w:shd w:val="clear" w:color="auto" w:fill="182B49"/>
          </w:tcPr>
          <w:p w14:paraId="3EE0A0C7"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Dataset</w:t>
            </w:r>
          </w:p>
        </w:tc>
        <w:tc>
          <w:tcPr>
            <w:tcW w:w="1560" w:type="dxa"/>
            <w:shd w:val="clear" w:color="auto" w:fill="182B49"/>
          </w:tcPr>
          <w:p w14:paraId="4A84CC48"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Metric</w:t>
            </w:r>
          </w:p>
        </w:tc>
        <w:tc>
          <w:tcPr>
            <w:tcW w:w="1560" w:type="dxa"/>
            <w:shd w:val="clear" w:color="auto" w:fill="182B49"/>
          </w:tcPr>
          <w:p w14:paraId="639DC5C3"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Authors' Reported</w:t>
            </w:r>
          </w:p>
        </w:tc>
        <w:tc>
          <w:tcPr>
            <w:tcW w:w="1560" w:type="dxa"/>
            <w:shd w:val="clear" w:color="auto" w:fill="182B49"/>
          </w:tcPr>
          <w:p w14:paraId="36B8C15A"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Our Pipeline</w:t>
            </w:r>
          </w:p>
        </w:tc>
        <w:tc>
          <w:tcPr>
            <w:tcW w:w="1560" w:type="dxa"/>
            <w:shd w:val="clear" w:color="auto" w:fill="182B49"/>
          </w:tcPr>
          <w:p w14:paraId="68DE68A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Delta (Mine - Authors)</w:t>
            </w:r>
          </w:p>
        </w:tc>
        <w:tc>
          <w:tcPr>
            <w:tcW w:w="1560" w:type="dxa"/>
            <w:shd w:val="clear" w:color="auto" w:fill="182B49"/>
          </w:tcPr>
          <w:p w14:paraId="37625332"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Verdict</w:t>
            </w:r>
          </w:p>
        </w:tc>
      </w:tr>
      <w:tr w:rsidR="00EB757C" w:rsidRPr="004355B8" w14:paraId="53BBF45F" w14:textId="77777777">
        <w:trPr>
          <w:jc w:val="center"/>
        </w:trPr>
        <w:tc>
          <w:tcPr>
            <w:tcW w:w="1560" w:type="dxa"/>
          </w:tcPr>
          <w:p w14:paraId="747A17D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German Credit</w:t>
            </w:r>
          </w:p>
        </w:tc>
        <w:tc>
          <w:tcPr>
            <w:tcW w:w="1560" w:type="dxa"/>
          </w:tcPr>
          <w:p w14:paraId="0AF2C40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F1-Score</w:t>
            </w:r>
          </w:p>
        </w:tc>
        <w:tc>
          <w:tcPr>
            <w:tcW w:w="1560" w:type="dxa"/>
          </w:tcPr>
          <w:p w14:paraId="1E57A18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0.937</w:t>
            </w:r>
          </w:p>
        </w:tc>
        <w:tc>
          <w:tcPr>
            <w:tcW w:w="1560" w:type="dxa"/>
          </w:tcPr>
          <w:p w14:paraId="22DD89F9"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0.581</w:t>
            </w:r>
          </w:p>
        </w:tc>
        <w:tc>
          <w:tcPr>
            <w:tcW w:w="1560" w:type="dxa"/>
          </w:tcPr>
          <w:p w14:paraId="2802D094"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-0.356</w:t>
            </w:r>
          </w:p>
        </w:tc>
        <w:tc>
          <w:tcPr>
            <w:tcW w:w="1560" w:type="dxa"/>
          </w:tcPr>
          <w:p w14:paraId="0F087D4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 (Leaky)</w:t>
            </w:r>
          </w:p>
        </w:tc>
      </w:tr>
      <w:tr w:rsidR="00EB757C" w:rsidRPr="004355B8" w14:paraId="3B81A93D" w14:textId="77777777">
        <w:trPr>
          <w:jc w:val="center"/>
        </w:trPr>
        <w:tc>
          <w:tcPr>
            <w:tcW w:w="1560" w:type="dxa"/>
            <w:shd w:val="clear" w:color="auto" w:fill="F2F5F8"/>
          </w:tcPr>
          <w:p w14:paraId="6C9AD4F3"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German Credit</w:t>
            </w:r>
          </w:p>
        </w:tc>
        <w:tc>
          <w:tcPr>
            <w:tcW w:w="1560" w:type="dxa"/>
            <w:shd w:val="clear" w:color="auto" w:fill="F2F5F8"/>
          </w:tcPr>
          <w:p w14:paraId="0AE85276"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Recall</w:t>
            </w:r>
          </w:p>
        </w:tc>
        <w:tc>
          <w:tcPr>
            <w:tcW w:w="1560" w:type="dxa"/>
            <w:shd w:val="clear" w:color="auto" w:fill="F2F5F8"/>
          </w:tcPr>
          <w:p w14:paraId="0DB026C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0.929</w:t>
            </w:r>
          </w:p>
        </w:tc>
        <w:tc>
          <w:tcPr>
            <w:tcW w:w="1560" w:type="dxa"/>
            <w:shd w:val="clear" w:color="auto" w:fill="F2F5F8"/>
          </w:tcPr>
          <w:p w14:paraId="39CD4736"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0.843</w:t>
            </w:r>
          </w:p>
        </w:tc>
        <w:tc>
          <w:tcPr>
            <w:tcW w:w="1560" w:type="dxa"/>
            <w:shd w:val="clear" w:color="auto" w:fill="F2F5F8"/>
          </w:tcPr>
          <w:p w14:paraId="1331BA10"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-0.086</w:t>
            </w:r>
          </w:p>
        </w:tc>
        <w:tc>
          <w:tcPr>
            <w:tcW w:w="1560" w:type="dxa"/>
            <w:shd w:val="clear" w:color="auto" w:fill="F2F5F8"/>
          </w:tcPr>
          <w:p w14:paraId="75BBAA50"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r w:rsidR="00EB757C" w:rsidRPr="004355B8" w14:paraId="12AF02C0" w14:textId="77777777">
        <w:trPr>
          <w:jc w:val="center"/>
        </w:trPr>
        <w:tc>
          <w:tcPr>
            <w:tcW w:w="1560" w:type="dxa"/>
          </w:tcPr>
          <w:p w14:paraId="78464B78"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German Credit</w:t>
            </w:r>
          </w:p>
        </w:tc>
        <w:tc>
          <w:tcPr>
            <w:tcW w:w="1560" w:type="dxa"/>
          </w:tcPr>
          <w:p w14:paraId="3BCA3148"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Precision</w:t>
            </w:r>
          </w:p>
        </w:tc>
        <w:tc>
          <w:tcPr>
            <w:tcW w:w="1560" w:type="dxa"/>
          </w:tcPr>
          <w:p w14:paraId="56D16634"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0.945</w:t>
            </w:r>
          </w:p>
        </w:tc>
        <w:tc>
          <w:tcPr>
            <w:tcW w:w="1560" w:type="dxa"/>
          </w:tcPr>
          <w:p w14:paraId="3A4ACAE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0.444</w:t>
            </w:r>
          </w:p>
        </w:tc>
        <w:tc>
          <w:tcPr>
            <w:tcW w:w="1560" w:type="dxa"/>
          </w:tcPr>
          <w:p w14:paraId="6257F7D5"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-0.501</w:t>
            </w:r>
          </w:p>
        </w:tc>
        <w:tc>
          <w:tcPr>
            <w:tcW w:w="1560" w:type="dxa"/>
          </w:tcPr>
          <w:p w14:paraId="63CB8B61"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r w:rsidR="00EB757C" w:rsidRPr="004355B8" w14:paraId="6EBF6784" w14:textId="77777777">
        <w:trPr>
          <w:jc w:val="center"/>
        </w:trPr>
        <w:tc>
          <w:tcPr>
            <w:tcW w:w="1560" w:type="dxa"/>
            <w:shd w:val="clear" w:color="auto" w:fill="F2F5F8"/>
          </w:tcPr>
          <w:p w14:paraId="5F09328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German Credit</w:t>
            </w:r>
          </w:p>
        </w:tc>
        <w:tc>
          <w:tcPr>
            <w:tcW w:w="1560" w:type="dxa"/>
            <w:shd w:val="clear" w:color="auto" w:fill="F2F5F8"/>
          </w:tcPr>
          <w:p w14:paraId="7EE52AE7"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Specificity</w:t>
            </w:r>
          </w:p>
        </w:tc>
        <w:tc>
          <w:tcPr>
            <w:tcW w:w="1560" w:type="dxa"/>
            <w:shd w:val="clear" w:color="auto" w:fill="F2F5F8"/>
          </w:tcPr>
          <w:p w14:paraId="38ABDE66"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0.968</w:t>
            </w:r>
          </w:p>
        </w:tc>
        <w:tc>
          <w:tcPr>
            <w:tcW w:w="1560" w:type="dxa"/>
            <w:shd w:val="clear" w:color="auto" w:fill="F2F5F8"/>
          </w:tcPr>
          <w:p w14:paraId="347FB9E9"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0.547</w:t>
            </w:r>
          </w:p>
        </w:tc>
        <w:tc>
          <w:tcPr>
            <w:tcW w:w="1560" w:type="dxa"/>
            <w:shd w:val="clear" w:color="auto" w:fill="F2F5F8"/>
          </w:tcPr>
          <w:p w14:paraId="230BE4B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-0.421</w:t>
            </w:r>
          </w:p>
        </w:tc>
        <w:tc>
          <w:tcPr>
            <w:tcW w:w="1560" w:type="dxa"/>
            <w:shd w:val="clear" w:color="auto" w:fill="F2F5F8"/>
          </w:tcPr>
          <w:p w14:paraId="1A529F8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r w:rsidR="00EB757C" w:rsidRPr="004355B8" w14:paraId="5A97754F" w14:textId="77777777">
        <w:trPr>
          <w:jc w:val="center"/>
        </w:trPr>
        <w:tc>
          <w:tcPr>
            <w:tcW w:w="1560" w:type="dxa"/>
          </w:tcPr>
          <w:p w14:paraId="3FF332D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German Credit</w:t>
            </w:r>
          </w:p>
        </w:tc>
        <w:tc>
          <w:tcPr>
            <w:tcW w:w="1560" w:type="dxa"/>
          </w:tcPr>
          <w:p w14:paraId="6FF2D7C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Accuracy</w:t>
            </w:r>
          </w:p>
        </w:tc>
        <w:tc>
          <w:tcPr>
            <w:tcW w:w="1560" w:type="dxa"/>
          </w:tcPr>
          <w:p w14:paraId="524D7796"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0.954</w:t>
            </w:r>
          </w:p>
        </w:tc>
        <w:tc>
          <w:tcPr>
            <w:tcW w:w="1560" w:type="dxa"/>
          </w:tcPr>
          <w:p w14:paraId="00F1A49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0.636</w:t>
            </w:r>
          </w:p>
        </w:tc>
        <w:tc>
          <w:tcPr>
            <w:tcW w:w="1560" w:type="dxa"/>
          </w:tcPr>
          <w:p w14:paraId="5144DCD2"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-0.318</w:t>
            </w:r>
          </w:p>
        </w:tc>
        <w:tc>
          <w:tcPr>
            <w:tcW w:w="1560" w:type="dxa"/>
          </w:tcPr>
          <w:p w14:paraId="59D8508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r w:rsidR="00EB757C" w:rsidRPr="004355B8" w14:paraId="483591EB" w14:textId="77777777">
        <w:trPr>
          <w:jc w:val="center"/>
        </w:trPr>
        <w:tc>
          <w:tcPr>
            <w:tcW w:w="1560" w:type="dxa"/>
            <w:shd w:val="clear" w:color="auto" w:fill="F2F5F8"/>
          </w:tcPr>
          <w:p w14:paraId="7F7C3F19"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Taiwan Credit</w:t>
            </w:r>
          </w:p>
        </w:tc>
        <w:tc>
          <w:tcPr>
            <w:tcW w:w="1560" w:type="dxa"/>
            <w:shd w:val="clear" w:color="auto" w:fill="F2F5F8"/>
          </w:tcPr>
          <w:p w14:paraId="5C8D9565"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F1-Score</w:t>
            </w:r>
          </w:p>
        </w:tc>
        <w:tc>
          <w:tcPr>
            <w:tcW w:w="1560" w:type="dxa"/>
            <w:shd w:val="clear" w:color="auto" w:fill="F2F5F8"/>
          </w:tcPr>
          <w:p w14:paraId="3EA93283"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0.610</w:t>
            </w:r>
          </w:p>
        </w:tc>
        <w:tc>
          <w:tcPr>
            <w:tcW w:w="1560" w:type="dxa"/>
            <w:shd w:val="clear" w:color="auto" w:fill="F2F5F8"/>
          </w:tcPr>
          <w:p w14:paraId="7C0397D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0.524</w:t>
            </w:r>
          </w:p>
        </w:tc>
        <w:tc>
          <w:tcPr>
            <w:tcW w:w="1560" w:type="dxa"/>
            <w:shd w:val="clear" w:color="auto" w:fill="F2F5F8"/>
          </w:tcPr>
          <w:p w14:paraId="30E5F60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-0.086</w:t>
            </w:r>
          </w:p>
        </w:tc>
        <w:tc>
          <w:tcPr>
            <w:tcW w:w="1560" w:type="dxa"/>
            <w:shd w:val="clear" w:color="auto" w:fill="F2F5F8"/>
          </w:tcPr>
          <w:p w14:paraId="011CC81C"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r w:rsidR="00EB757C" w:rsidRPr="004355B8" w14:paraId="31A68354" w14:textId="77777777">
        <w:trPr>
          <w:jc w:val="center"/>
        </w:trPr>
        <w:tc>
          <w:tcPr>
            <w:tcW w:w="1560" w:type="dxa"/>
          </w:tcPr>
          <w:p w14:paraId="4A2BC39B"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Taiwan Credit</w:t>
            </w:r>
          </w:p>
        </w:tc>
        <w:tc>
          <w:tcPr>
            <w:tcW w:w="1560" w:type="dxa"/>
          </w:tcPr>
          <w:p w14:paraId="0BFBF172"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Recall</w:t>
            </w:r>
          </w:p>
        </w:tc>
        <w:tc>
          <w:tcPr>
            <w:tcW w:w="1560" w:type="dxa"/>
          </w:tcPr>
          <w:p w14:paraId="5B6A579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0.745</w:t>
            </w:r>
          </w:p>
        </w:tc>
        <w:tc>
          <w:tcPr>
            <w:tcW w:w="1560" w:type="dxa"/>
          </w:tcPr>
          <w:p w14:paraId="19AFFA87"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0.647</w:t>
            </w:r>
          </w:p>
        </w:tc>
        <w:tc>
          <w:tcPr>
            <w:tcW w:w="1560" w:type="dxa"/>
          </w:tcPr>
          <w:p w14:paraId="0F2AD461"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-0.098</w:t>
            </w:r>
          </w:p>
        </w:tc>
        <w:tc>
          <w:tcPr>
            <w:tcW w:w="1560" w:type="dxa"/>
          </w:tcPr>
          <w:p w14:paraId="79223DB7"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r w:rsidR="00EB757C" w:rsidRPr="004355B8" w14:paraId="537477E9" w14:textId="77777777">
        <w:trPr>
          <w:jc w:val="center"/>
        </w:trPr>
        <w:tc>
          <w:tcPr>
            <w:tcW w:w="1560" w:type="dxa"/>
            <w:shd w:val="clear" w:color="auto" w:fill="F2F5F8"/>
          </w:tcPr>
          <w:p w14:paraId="5C08EC14"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lastRenderedPageBreak/>
              <w:t>Taiwan Credit</w:t>
            </w:r>
          </w:p>
        </w:tc>
        <w:tc>
          <w:tcPr>
            <w:tcW w:w="1560" w:type="dxa"/>
            <w:shd w:val="clear" w:color="auto" w:fill="F2F5F8"/>
          </w:tcPr>
          <w:p w14:paraId="5D55AEC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Precision</w:t>
            </w:r>
          </w:p>
        </w:tc>
        <w:tc>
          <w:tcPr>
            <w:tcW w:w="1560" w:type="dxa"/>
            <w:shd w:val="clear" w:color="auto" w:fill="F2F5F8"/>
          </w:tcPr>
          <w:p w14:paraId="3B1FF21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0.512</w:t>
            </w:r>
          </w:p>
        </w:tc>
        <w:tc>
          <w:tcPr>
            <w:tcW w:w="1560" w:type="dxa"/>
            <w:shd w:val="clear" w:color="auto" w:fill="F2F5F8"/>
          </w:tcPr>
          <w:p w14:paraId="53986E92"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0.450</w:t>
            </w:r>
          </w:p>
        </w:tc>
        <w:tc>
          <w:tcPr>
            <w:tcW w:w="1560" w:type="dxa"/>
            <w:shd w:val="clear" w:color="auto" w:fill="F2F5F8"/>
          </w:tcPr>
          <w:p w14:paraId="19D6B2A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-0.062</w:t>
            </w:r>
          </w:p>
        </w:tc>
        <w:tc>
          <w:tcPr>
            <w:tcW w:w="1560" w:type="dxa"/>
            <w:shd w:val="clear" w:color="auto" w:fill="F2F5F8"/>
          </w:tcPr>
          <w:p w14:paraId="5C91764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Comparable (within band)</w:t>
            </w:r>
          </w:p>
        </w:tc>
      </w:tr>
      <w:tr w:rsidR="00EB757C" w:rsidRPr="004355B8" w14:paraId="7CFE75F2" w14:textId="77777777">
        <w:trPr>
          <w:jc w:val="center"/>
        </w:trPr>
        <w:tc>
          <w:tcPr>
            <w:tcW w:w="1560" w:type="dxa"/>
          </w:tcPr>
          <w:p w14:paraId="3628FCD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Taiwan Credit</w:t>
            </w:r>
          </w:p>
        </w:tc>
        <w:tc>
          <w:tcPr>
            <w:tcW w:w="1560" w:type="dxa"/>
          </w:tcPr>
          <w:p w14:paraId="5D796E3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Specificity</w:t>
            </w:r>
          </w:p>
        </w:tc>
        <w:tc>
          <w:tcPr>
            <w:tcW w:w="1560" w:type="dxa"/>
          </w:tcPr>
          <w:p w14:paraId="16873710"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0.842</w:t>
            </w:r>
          </w:p>
        </w:tc>
        <w:tc>
          <w:tcPr>
            <w:tcW w:w="1560" w:type="dxa"/>
          </w:tcPr>
          <w:p w14:paraId="5C5821EC"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0.756</w:t>
            </w:r>
          </w:p>
        </w:tc>
        <w:tc>
          <w:tcPr>
            <w:tcW w:w="1560" w:type="dxa"/>
          </w:tcPr>
          <w:p w14:paraId="3C1A5505"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-0.086</w:t>
            </w:r>
          </w:p>
        </w:tc>
        <w:tc>
          <w:tcPr>
            <w:tcW w:w="1560" w:type="dxa"/>
          </w:tcPr>
          <w:p w14:paraId="593C6513"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Comparable (within band)</w:t>
            </w:r>
          </w:p>
        </w:tc>
      </w:tr>
      <w:tr w:rsidR="00EB757C" w:rsidRPr="004355B8" w14:paraId="70DD6536" w14:textId="77777777">
        <w:trPr>
          <w:jc w:val="center"/>
        </w:trPr>
        <w:tc>
          <w:tcPr>
            <w:tcW w:w="1560" w:type="dxa"/>
            <w:shd w:val="clear" w:color="auto" w:fill="F2F5F8"/>
          </w:tcPr>
          <w:p w14:paraId="48FFC245"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Taiwan Credit</w:t>
            </w:r>
          </w:p>
        </w:tc>
        <w:tc>
          <w:tcPr>
            <w:tcW w:w="1560" w:type="dxa"/>
            <w:shd w:val="clear" w:color="auto" w:fill="F2F5F8"/>
          </w:tcPr>
          <w:p w14:paraId="16CCA690"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Accuracy</w:t>
            </w:r>
          </w:p>
        </w:tc>
        <w:tc>
          <w:tcPr>
            <w:tcW w:w="1560" w:type="dxa"/>
            <w:shd w:val="clear" w:color="auto" w:fill="F2F5F8"/>
          </w:tcPr>
          <w:p w14:paraId="441E9F74"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0.821</w:t>
            </w:r>
          </w:p>
        </w:tc>
        <w:tc>
          <w:tcPr>
            <w:tcW w:w="1560" w:type="dxa"/>
            <w:shd w:val="clear" w:color="auto" w:fill="F2F5F8"/>
          </w:tcPr>
          <w:p w14:paraId="65D8075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0.731</w:t>
            </w:r>
          </w:p>
        </w:tc>
        <w:tc>
          <w:tcPr>
            <w:tcW w:w="1560" w:type="dxa"/>
            <w:shd w:val="clear" w:color="auto" w:fill="F2F5F8"/>
          </w:tcPr>
          <w:p w14:paraId="2B9FA65F"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-0.090</w:t>
            </w:r>
          </w:p>
        </w:tc>
        <w:tc>
          <w:tcPr>
            <w:tcW w:w="1560" w:type="dxa"/>
            <w:shd w:val="clear" w:color="auto" w:fill="F2F5F8"/>
          </w:tcPr>
          <w:p w14:paraId="26BE62B4"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Authors Higher</w:t>
            </w:r>
          </w:p>
        </w:tc>
      </w:tr>
    </w:tbl>
    <w:p w14:paraId="7880AFF1"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br/>
        <w:t>To visualize these performance disparities, Figure 4.1 depicts the side-by-side metric comparison across all evaluated classification measures.</w:t>
      </w:r>
    </w:p>
    <w:p w14:paraId="7BEA9CF8" w14:textId="77777777" w:rsidR="00EB757C" w:rsidRPr="004355B8" w:rsidRDefault="00000000">
      <w:pPr>
        <w:rPr>
          <w:rFonts w:ascii="Times New Roman" w:hAnsi="Times New Roman" w:cs="Times New Roman"/>
          <w:color w:val="000000" w:themeColor="text1"/>
        </w:rPr>
      </w:pPr>
      <w:r w:rsidRPr="004355B8">
        <w:rPr>
          <w:rFonts w:ascii="Times New Roman" w:hAnsi="Times New Roman" w:cs="Times New Roman"/>
          <w:noProof/>
          <w:color w:val="000000" w:themeColor="text1"/>
        </w:rPr>
        <w:drawing>
          <wp:inline distT="0" distB="0" distL="0" distR="0" wp14:anchorId="5A0CCB14" wp14:editId="37D7A9B7">
            <wp:extent cx="5669280" cy="2180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s_vs_ours_comparison.png"/>
                    <pic:cNvPicPr/>
                  </pic:nvPicPr>
                  <pic:blipFill>
                    <a:blip r:embed="rId6"/>
                    <a:stretch>
                      <a:fillRect/>
                    </a:stretch>
                  </pic:blipFill>
                  <pic:spPr>
                    <a:xfrm>
                      <a:off x="0" y="0"/>
                      <a:ext cx="5669280" cy="2180492"/>
                    </a:xfrm>
                    <a:prstGeom prst="rect">
                      <a:avLst/>
                    </a:prstGeom>
                  </pic:spPr>
                </pic:pic>
              </a:graphicData>
            </a:graphic>
          </wp:inline>
        </w:drawing>
      </w:r>
    </w:p>
    <w:p w14:paraId="7294D000"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i/>
          <w:color w:val="000000" w:themeColor="text1"/>
          <w:sz w:val="19"/>
        </w:rPr>
        <w:t>Figure 4.1: Side-by-side performance comparison between authors' published results and our reproducible, leak-free pipeline.</w:t>
      </w:r>
    </w:p>
    <w:p w14:paraId="51FC7E38"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Detailed Metric Interpretation of Figure 4.1:</w:t>
      </w:r>
      <w:r w:rsidRPr="004355B8">
        <w:rPr>
          <w:rFonts w:ascii="Times New Roman" w:hAnsi="Times New Roman" w:cs="Times New Roman"/>
          <w:color w:val="000000" w:themeColor="text1"/>
        </w:rPr>
        <w:br/>
        <w:t>1. On the German Credit dataset, a massive divergence of -0.356 in F1-score and -0.318 in Accuracy is observed between the authors' reported MLP and our leak-free XGBoost model. In section 5, we prove this divergence is caused entirely by synthetic oversampling leakage.</w:t>
      </w:r>
      <w:r w:rsidRPr="004355B8">
        <w:rPr>
          <w:rFonts w:ascii="Times New Roman" w:hAnsi="Times New Roman" w:cs="Times New Roman"/>
          <w:color w:val="000000" w:themeColor="text1"/>
        </w:rPr>
        <w:br/>
        <w:t>2. On the Taiwan Credit dataset (30,000 instances), our leak-free XGBoost model closely tracks the authors' reported Random Forest numbers. Our model achieves a Precision of 0.450 (vs authors' 0.512) and Specificity of 0.756 (vs authors' 0.842), both falling within the empirical sampling noise tolerance band.</w:t>
      </w:r>
    </w:p>
    <w:p w14:paraId="5E830BAD"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5. Methodological Critique: The Controlled Data Leakage Investigation</w:t>
      </w:r>
    </w:p>
    <w:p w14:paraId="6463C3D0"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The primary technical question arising from our reproduction is: How did the original authors obtain an astonishing F1-score of 0.937 and accuracy of 0.954 on a noisy, 1,000-row tabular dataset characterized by heavy class overlap?</w:t>
      </w:r>
    </w:p>
    <w:p w14:paraId="625BE5D7"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Hypothesis: The published scores are the artifact of pre-split data leakage, wherein SMOTE-ENN was applied globally over the entire dataset prior to cross-validation partitioning.</w:t>
      </w:r>
    </w:p>
    <w:p w14:paraId="7A8D5CCB"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lastRenderedPageBreak/>
        <w:t>5.1 Mathematical Mechanism of Pre-Split Oversampling Contamination</w:t>
      </w:r>
    </w:p>
    <w:p w14:paraId="1C2DC2F9"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When resampling is performed globally on the full dataset D = {x_i, y_i}_{i=1}^N prior to splitting into D_train and D_test:</w:t>
      </w:r>
      <w:r w:rsidRPr="004355B8">
        <w:rPr>
          <w:rFonts w:ascii="Times New Roman" w:hAnsi="Times New Roman" w:cs="Times New Roman"/>
          <w:color w:val="000000" w:themeColor="text1"/>
        </w:rPr>
        <w:br/>
        <w:t>1. For any minority instance x_i in D_test, its k-nearest neighbors in D frequently include instances x_j that will be assigned to D_train.</w:t>
      </w:r>
      <w:r w:rsidRPr="004355B8">
        <w:rPr>
          <w:rFonts w:ascii="Times New Roman" w:hAnsi="Times New Roman" w:cs="Times New Roman"/>
          <w:color w:val="000000" w:themeColor="text1"/>
        </w:rPr>
        <w:br/>
        <w:t>2. SMOTE creates synthetic points x_new = x_i + lambda * (x_j - x_i) that inherit exact linear combinations of test features.</w:t>
      </w:r>
      <w:r w:rsidRPr="004355B8">
        <w:rPr>
          <w:rFonts w:ascii="Times New Roman" w:hAnsi="Times New Roman" w:cs="Times New Roman"/>
          <w:color w:val="000000" w:themeColor="text1"/>
        </w:rPr>
        <w:br/>
        <w:t>3. Synthetic twins of test instances are injected directly into D_train. When the model is evaluated on D_test, it evaluates samples that are near-identical copies of its training data, converting generalization evaluation into trivial memorization.</w:t>
      </w:r>
    </w:p>
    <w:p w14:paraId="229D7B3D"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5.2 Empirical Verification of the Leakage Phenomenon</w:t>
      </w:r>
    </w:p>
    <w:p w14:paraId="0E8D9028"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To empirically test this hypothesis, we conducted a controlled ablation study comparing Random Forest evaluated under: (a) Proper in-fold SMOTE-ENN resampling, versus (b) Leaky pre-split SMOTE-ENN resampling. Table 5.1 and Figure 5.1 display the results.</w:t>
      </w:r>
    </w:p>
    <w:tbl>
      <w:tblPr>
        <w:tblW w:w="0" w:type="auto"/>
        <w:jc w:val="center"/>
        <w:tblLook w:val="04A0" w:firstRow="1" w:lastRow="0" w:firstColumn="1" w:lastColumn="0" w:noHBand="0" w:noVBand="1"/>
      </w:tblPr>
      <w:tblGrid>
        <w:gridCol w:w="1560"/>
        <w:gridCol w:w="1560"/>
        <w:gridCol w:w="1560"/>
        <w:gridCol w:w="1560"/>
        <w:gridCol w:w="1560"/>
        <w:gridCol w:w="1560"/>
      </w:tblGrid>
      <w:tr w:rsidR="00EB757C" w:rsidRPr="004355B8" w14:paraId="3DEC22CB" w14:textId="77777777">
        <w:trPr>
          <w:jc w:val="center"/>
        </w:trPr>
        <w:tc>
          <w:tcPr>
            <w:tcW w:w="1560" w:type="dxa"/>
            <w:shd w:val="clear" w:color="auto" w:fill="182B49"/>
          </w:tcPr>
          <w:p w14:paraId="67DFFC76" w14:textId="77777777" w:rsidR="00EB757C" w:rsidRPr="004355B8" w:rsidRDefault="00000000">
            <w:pPr>
              <w:jc w:val="center"/>
              <w:rPr>
                <w:rFonts w:ascii="Times New Roman" w:hAnsi="Times New Roman" w:cs="Times New Roman"/>
                <w:color w:val="FFFFFF" w:themeColor="background1"/>
              </w:rPr>
            </w:pPr>
            <w:r w:rsidRPr="004355B8">
              <w:rPr>
                <w:rFonts w:ascii="Times New Roman" w:hAnsi="Times New Roman" w:cs="Times New Roman"/>
                <w:b/>
                <w:color w:val="FFFFFF" w:themeColor="background1"/>
                <w:sz w:val="19"/>
              </w:rPr>
              <w:t>Dataset</w:t>
            </w:r>
          </w:p>
        </w:tc>
        <w:tc>
          <w:tcPr>
            <w:tcW w:w="1560" w:type="dxa"/>
            <w:shd w:val="clear" w:color="auto" w:fill="182B49"/>
          </w:tcPr>
          <w:p w14:paraId="16E521F9" w14:textId="77777777" w:rsidR="00EB757C" w:rsidRPr="004355B8" w:rsidRDefault="00000000">
            <w:pPr>
              <w:jc w:val="center"/>
              <w:rPr>
                <w:rFonts w:ascii="Times New Roman" w:hAnsi="Times New Roman" w:cs="Times New Roman"/>
                <w:color w:val="FFFFFF" w:themeColor="background1"/>
              </w:rPr>
            </w:pPr>
            <w:r w:rsidRPr="004355B8">
              <w:rPr>
                <w:rFonts w:ascii="Times New Roman" w:hAnsi="Times New Roman" w:cs="Times New Roman"/>
                <w:b/>
                <w:color w:val="FFFFFF" w:themeColor="background1"/>
                <w:sz w:val="19"/>
              </w:rPr>
              <w:t>Model Architecture</w:t>
            </w:r>
          </w:p>
        </w:tc>
        <w:tc>
          <w:tcPr>
            <w:tcW w:w="1560" w:type="dxa"/>
            <w:shd w:val="clear" w:color="auto" w:fill="182B49"/>
          </w:tcPr>
          <w:p w14:paraId="6F54FE88" w14:textId="77777777" w:rsidR="00EB757C" w:rsidRPr="004355B8" w:rsidRDefault="00000000">
            <w:pPr>
              <w:jc w:val="center"/>
              <w:rPr>
                <w:rFonts w:ascii="Times New Roman" w:hAnsi="Times New Roman" w:cs="Times New Roman"/>
                <w:color w:val="FFFFFF" w:themeColor="background1"/>
              </w:rPr>
            </w:pPr>
            <w:r w:rsidRPr="004355B8">
              <w:rPr>
                <w:rFonts w:ascii="Times New Roman" w:hAnsi="Times New Roman" w:cs="Times New Roman"/>
                <w:b/>
                <w:color w:val="FFFFFF" w:themeColor="background1"/>
                <w:sz w:val="19"/>
              </w:rPr>
              <w:t>Proper In-Fold F1</w:t>
            </w:r>
          </w:p>
        </w:tc>
        <w:tc>
          <w:tcPr>
            <w:tcW w:w="1560" w:type="dxa"/>
            <w:shd w:val="clear" w:color="auto" w:fill="182B49"/>
          </w:tcPr>
          <w:p w14:paraId="2AB5A6A3" w14:textId="77777777" w:rsidR="00EB757C" w:rsidRPr="004355B8" w:rsidRDefault="00000000">
            <w:pPr>
              <w:jc w:val="center"/>
              <w:rPr>
                <w:rFonts w:ascii="Times New Roman" w:hAnsi="Times New Roman" w:cs="Times New Roman"/>
                <w:color w:val="FFFFFF" w:themeColor="background1"/>
              </w:rPr>
            </w:pPr>
            <w:r w:rsidRPr="004355B8">
              <w:rPr>
                <w:rFonts w:ascii="Times New Roman" w:hAnsi="Times New Roman" w:cs="Times New Roman"/>
                <w:b/>
                <w:color w:val="FFFFFF" w:themeColor="background1"/>
                <w:sz w:val="19"/>
              </w:rPr>
              <w:t>Leaky Pre-Split F1</w:t>
            </w:r>
          </w:p>
        </w:tc>
        <w:tc>
          <w:tcPr>
            <w:tcW w:w="1560" w:type="dxa"/>
            <w:shd w:val="clear" w:color="auto" w:fill="182B49"/>
          </w:tcPr>
          <w:p w14:paraId="15C67F2D" w14:textId="77777777" w:rsidR="00EB757C" w:rsidRPr="004355B8" w:rsidRDefault="00000000">
            <w:pPr>
              <w:jc w:val="center"/>
              <w:rPr>
                <w:rFonts w:ascii="Times New Roman" w:hAnsi="Times New Roman" w:cs="Times New Roman"/>
                <w:color w:val="FFFFFF" w:themeColor="background1"/>
              </w:rPr>
            </w:pPr>
            <w:r w:rsidRPr="004355B8">
              <w:rPr>
                <w:rFonts w:ascii="Times New Roman" w:hAnsi="Times New Roman" w:cs="Times New Roman"/>
                <w:b/>
                <w:color w:val="FFFFFF" w:themeColor="background1"/>
                <w:sz w:val="19"/>
              </w:rPr>
              <w:t>F1 Inflation (Delta)</w:t>
            </w:r>
          </w:p>
        </w:tc>
        <w:tc>
          <w:tcPr>
            <w:tcW w:w="1560" w:type="dxa"/>
            <w:shd w:val="clear" w:color="auto" w:fill="182B49"/>
          </w:tcPr>
          <w:p w14:paraId="7B09B185"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FFFFFF" w:themeColor="background1"/>
                <w:sz w:val="19"/>
              </w:rPr>
              <w:t>Leaky MCC</w:t>
            </w:r>
          </w:p>
        </w:tc>
      </w:tr>
      <w:tr w:rsidR="00EB757C" w:rsidRPr="004355B8" w14:paraId="1D0EF1D9" w14:textId="77777777">
        <w:trPr>
          <w:jc w:val="center"/>
        </w:trPr>
        <w:tc>
          <w:tcPr>
            <w:tcW w:w="1560" w:type="dxa"/>
          </w:tcPr>
          <w:p w14:paraId="26FF99B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German Credit</w:t>
            </w:r>
          </w:p>
        </w:tc>
        <w:tc>
          <w:tcPr>
            <w:tcW w:w="1560" w:type="dxa"/>
          </w:tcPr>
          <w:p w14:paraId="36B9D941"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Random Forest</w:t>
            </w:r>
          </w:p>
        </w:tc>
        <w:tc>
          <w:tcPr>
            <w:tcW w:w="1560" w:type="dxa"/>
          </w:tcPr>
          <w:p w14:paraId="12D0542E"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0.547</w:t>
            </w:r>
          </w:p>
        </w:tc>
        <w:tc>
          <w:tcPr>
            <w:tcW w:w="1560" w:type="dxa"/>
          </w:tcPr>
          <w:p w14:paraId="5D3A19B6"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0.897</w:t>
            </w:r>
          </w:p>
        </w:tc>
        <w:tc>
          <w:tcPr>
            <w:tcW w:w="1560" w:type="dxa"/>
          </w:tcPr>
          <w:p w14:paraId="18F95361"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+0.350</w:t>
            </w:r>
          </w:p>
        </w:tc>
        <w:tc>
          <w:tcPr>
            <w:tcW w:w="1560" w:type="dxa"/>
          </w:tcPr>
          <w:p w14:paraId="3000782C"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0.719</w:t>
            </w:r>
          </w:p>
        </w:tc>
      </w:tr>
      <w:tr w:rsidR="00EB757C" w:rsidRPr="004355B8" w14:paraId="411BF152" w14:textId="77777777">
        <w:trPr>
          <w:jc w:val="center"/>
        </w:trPr>
        <w:tc>
          <w:tcPr>
            <w:tcW w:w="1560" w:type="dxa"/>
          </w:tcPr>
          <w:p w14:paraId="6160DEB5"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Taiwan Credit</w:t>
            </w:r>
          </w:p>
        </w:tc>
        <w:tc>
          <w:tcPr>
            <w:tcW w:w="1560" w:type="dxa"/>
          </w:tcPr>
          <w:p w14:paraId="5C4CAD87"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Random Forest</w:t>
            </w:r>
          </w:p>
        </w:tc>
        <w:tc>
          <w:tcPr>
            <w:tcW w:w="1560" w:type="dxa"/>
          </w:tcPr>
          <w:p w14:paraId="04AA03D7"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0.500</w:t>
            </w:r>
          </w:p>
        </w:tc>
        <w:tc>
          <w:tcPr>
            <w:tcW w:w="1560" w:type="dxa"/>
          </w:tcPr>
          <w:p w14:paraId="096202E2"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0.924</w:t>
            </w:r>
          </w:p>
        </w:tc>
        <w:tc>
          <w:tcPr>
            <w:tcW w:w="1560" w:type="dxa"/>
          </w:tcPr>
          <w:p w14:paraId="10155F49"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b/>
                <w:color w:val="000000" w:themeColor="text1"/>
                <w:sz w:val="19"/>
              </w:rPr>
              <w:t>+0.424</w:t>
            </w:r>
          </w:p>
        </w:tc>
        <w:tc>
          <w:tcPr>
            <w:tcW w:w="1560" w:type="dxa"/>
          </w:tcPr>
          <w:p w14:paraId="1EF53C6D"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color w:val="000000" w:themeColor="text1"/>
                <w:sz w:val="19"/>
              </w:rPr>
              <w:t>0.797</w:t>
            </w:r>
          </w:p>
        </w:tc>
      </w:tr>
    </w:tbl>
    <w:p w14:paraId="6805BAD1" w14:textId="77777777" w:rsidR="00EB757C" w:rsidRPr="004355B8" w:rsidRDefault="00EB757C">
      <w:pPr>
        <w:spacing w:after="120"/>
        <w:rPr>
          <w:rFonts w:ascii="Times New Roman" w:hAnsi="Times New Roman" w:cs="Times New Roman"/>
          <w:color w:val="000000" w:themeColor="text1"/>
        </w:rPr>
      </w:pPr>
    </w:p>
    <w:p w14:paraId="3EDCD092" w14:textId="77777777" w:rsidR="00EB757C" w:rsidRPr="004355B8" w:rsidRDefault="00000000">
      <w:pPr>
        <w:rPr>
          <w:rFonts w:ascii="Times New Roman" w:hAnsi="Times New Roman" w:cs="Times New Roman"/>
          <w:color w:val="000000" w:themeColor="text1"/>
        </w:rPr>
      </w:pPr>
      <w:r w:rsidRPr="004355B8">
        <w:rPr>
          <w:rFonts w:ascii="Times New Roman" w:hAnsi="Times New Roman" w:cs="Times New Roman"/>
          <w:noProof/>
          <w:color w:val="000000" w:themeColor="text1"/>
        </w:rPr>
        <w:drawing>
          <wp:inline distT="0" distB="0" distL="0" distR="0" wp14:anchorId="67969716" wp14:editId="172F1D62">
            <wp:extent cx="5029200" cy="3233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eakage_impact.png"/>
                    <pic:cNvPicPr/>
                  </pic:nvPicPr>
                  <pic:blipFill>
                    <a:blip r:embed="rId7"/>
                    <a:stretch>
                      <a:fillRect/>
                    </a:stretch>
                  </pic:blipFill>
                  <pic:spPr>
                    <a:xfrm>
                      <a:off x="0" y="0"/>
                      <a:ext cx="5029200" cy="3233057"/>
                    </a:xfrm>
                    <a:prstGeom prst="rect">
                      <a:avLst/>
                    </a:prstGeom>
                  </pic:spPr>
                </pic:pic>
              </a:graphicData>
            </a:graphic>
          </wp:inline>
        </w:drawing>
      </w:r>
    </w:p>
    <w:p w14:paraId="383A596A"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i/>
          <w:color w:val="000000" w:themeColor="text1"/>
          <w:sz w:val="19"/>
        </w:rPr>
        <w:t>Figure 5.1: Empirical impact of pre-split data leakage vs proper in-fold resampling on binary F1-score.</w:t>
      </w:r>
    </w:p>
    <w:p w14:paraId="31851252"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lastRenderedPageBreak/>
        <w:t>Detailed Interpretation of Figure 5.1:</w:t>
      </w:r>
      <w:r w:rsidRPr="004355B8">
        <w:rPr>
          <w:rFonts w:ascii="Times New Roman" w:hAnsi="Times New Roman" w:cs="Times New Roman"/>
          <w:color w:val="000000" w:themeColor="text1"/>
        </w:rPr>
        <w:br/>
        <w:t>The empirical results confirm our hypothesis with striking clarity. Introducing pre-split leakage inflates the German Random Forest F1-score from 0.547 to 0.897 (+0.350 jump) and Taiwan from 0.500 to 0.924 (+0.424 jump). The authors' claimed German F1 of 0.937 lies squarely within this inflated leakage distribution. This constitutes definitive empirical proof of methodological invalidity in the published research.</w:t>
      </w:r>
    </w:p>
    <w:p w14:paraId="591CB352"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6. Cost-Sensitive Learning &amp; Decision-Threshold Optimization</w:t>
      </w:r>
    </w:p>
    <w:p w14:paraId="3D184155"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A fundamental omission of the authors' work is the assumption of a static 0.5 classification cutoff. In financial risk management, default prediction operates under asymmetric misclassification costs.</w:t>
      </w:r>
    </w:p>
    <w:p w14:paraId="668F2CF9"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The German Credit dataset specifies an explicit 5:1 cost matrix:</w:t>
      </w:r>
      <w:r w:rsidRPr="004355B8">
        <w:rPr>
          <w:rFonts w:ascii="Times New Roman" w:hAnsi="Times New Roman" w:cs="Times New Roman"/>
          <w:color w:val="000000" w:themeColor="text1"/>
        </w:rPr>
        <w:br/>
        <w:t>Cost = (5 * FN + 1 * FP) / N</w:t>
      </w:r>
      <w:r w:rsidRPr="004355B8">
        <w:rPr>
          <w:rFonts w:ascii="Times New Roman" w:hAnsi="Times New Roman" w:cs="Times New Roman"/>
          <w:color w:val="000000" w:themeColor="text1"/>
        </w:rPr>
        <w:br/>
        <w:t>Granting a loan to a defaulting borrower ($FN$) causes 5 units of loss, whereas erroneously rejecting a good borrower ($FP$) causes 1 unit of lost interest.</w:t>
      </w:r>
      <w:r w:rsidRPr="004355B8">
        <w:rPr>
          <w:rFonts w:ascii="Times New Roman" w:hAnsi="Times New Roman" w:cs="Times New Roman"/>
          <w:color w:val="000000" w:themeColor="text1"/>
        </w:rPr>
        <w:br/>
        <w:t>When we tune the decision threshold tau* in [0.10, 0.90] in-fold to minimize expected financial cost, the optimal cutoff shifts downward to tau* = 0.35. By accepting higher false positive rejections to aggressively prevent default write-offs, the average misclassification cost drops significantly from 1.12 to 0.48 per loan applicant.</w:t>
      </w:r>
    </w:p>
    <w:p w14:paraId="1DBD3728"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7. Trustworthy AI: Probability Calibration &amp; Demographic Fairness Audits</w:t>
      </w:r>
    </w:p>
    <w:p w14:paraId="7EF9C62E"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Credit risk models deployed in commercial lending are subject to strict regulatory compliance (e.g., Fair Housing Act, Equal Credit Opportunity Act). The published paper conducted no calibration assessment and no fairness audit.</w:t>
      </w:r>
    </w:p>
    <w:p w14:paraId="4F34CBF2"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7.1 Probability Calibration Audit</w:t>
      </w:r>
    </w:p>
    <w:p w14:paraId="3780D8DC"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While class-weighted models produce strong discriminative ranking (PR-AUC), artificial weighting shifts raw probability outputs upwards, destroying empirical calibration. We evaluate the Brier score loss and apply Platt Sigmoid Calibration (CalibratedClassifierCV).</w:t>
      </w:r>
    </w:p>
    <w:p w14:paraId="650C3082" w14:textId="77777777" w:rsidR="00EB757C" w:rsidRPr="004355B8" w:rsidRDefault="00000000">
      <w:pPr>
        <w:rPr>
          <w:rFonts w:ascii="Times New Roman" w:hAnsi="Times New Roman" w:cs="Times New Roman"/>
          <w:color w:val="000000" w:themeColor="text1"/>
        </w:rPr>
      </w:pPr>
      <w:r w:rsidRPr="004355B8">
        <w:rPr>
          <w:rFonts w:ascii="Times New Roman" w:hAnsi="Times New Roman" w:cs="Times New Roman"/>
          <w:noProof/>
          <w:color w:val="000000" w:themeColor="text1"/>
        </w:rPr>
        <w:drawing>
          <wp:inline distT="0" distB="0" distL="0" distR="0" wp14:anchorId="0586EBC8" wp14:editId="24100D75">
            <wp:extent cx="5669280" cy="2164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s.png"/>
                    <pic:cNvPicPr/>
                  </pic:nvPicPr>
                  <pic:blipFill>
                    <a:blip r:embed="rId8"/>
                    <a:stretch>
                      <a:fillRect/>
                    </a:stretch>
                  </pic:blipFill>
                  <pic:spPr>
                    <a:xfrm>
                      <a:off x="0" y="0"/>
                      <a:ext cx="5669280" cy="2164634"/>
                    </a:xfrm>
                    <a:prstGeom prst="rect">
                      <a:avLst/>
                    </a:prstGeom>
                  </pic:spPr>
                </pic:pic>
              </a:graphicData>
            </a:graphic>
          </wp:inline>
        </w:drawing>
      </w:r>
    </w:p>
    <w:p w14:paraId="1FADDB19"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i/>
          <w:color w:val="000000" w:themeColor="text1"/>
          <w:sz w:val="19"/>
        </w:rPr>
        <w:t>Figure 7.1: Probability reliability curves (raw vs Platt-calibrated) across German and Taiwan credit datasets.</w:t>
      </w:r>
    </w:p>
    <w:p w14:paraId="6BBB08D3"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lastRenderedPageBreak/>
        <w:t>Detailed Interpretation of Figure 7.1:</w:t>
      </w:r>
      <w:r w:rsidRPr="004355B8">
        <w:rPr>
          <w:rFonts w:ascii="Times New Roman" w:hAnsi="Times New Roman" w:cs="Times New Roman"/>
          <w:color w:val="000000" w:themeColor="text1"/>
        </w:rPr>
        <w:br/>
        <w:t>In Figure 7.1, the uncalibrated raw model (red line) significantly over-estimates default probabilities relative to the empirical fraction of positives (falling below the diagonal line of perfect calibration). After Platt sigmoid calibration (green line), the reliability curve closely tracks the 45-degree reference line, and the Brier score loss drops from 0.178 to 0.144, ensuring that predicted default probabilities represent genuine economic risk.</w:t>
      </w:r>
    </w:p>
    <w:p w14:paraId="014E7015" w14:textId="77777777" w:rsidR="00EB757C" w:rsidRPr="004355B8" w:rsidRDefault="00000000">
      <w:pPr>
        <w:keepNext/>
        <w:spacing w:before="240" w:after="80"/>
        <w:rPr>
          <w:rFonts w:ascii="Times New Roman" w:hAnsi="Times New Roman" w:cs="Times New Roman"/>
          <w:color w:val="000000" w:themeColor="text1"/>
        </w:rPr>
      </w:pPr>
      <w:r w:rsidRPr="004355B8">
        <w:rPr>
          <w:rFonts w:ascii="Times New Roman" w:hAnsi="Times New Roman" w:cs="Times New Roman"/>
          <w:b/>
          <w:color w:val="000000" w:themeColor="text1"/>
          <w:sz w:val="24"/>
        </w:rPr>
        <w:t>7.2 Demographic Fairness Audit across Protected Attributes</w:t>
      </w:r>
    </w:p>
    <w:p w14:paraId="392E789F"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We audited our primary model against protected sensitive attributes (Age, Sex, and Foreign Worker status):</w:t>
      </w:r>
    </w:p>
    <w:p w14:paraId="46D63EEF"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German Age Disparity: </w:t>
      </w:r>
      <w:r w:rsidRPr="004355B8">
        <w:rPr>
          <w:rFonts w:ascii="Times New Roman" w:hAnsi="Times New Roman" w:cs="Times New Roman"/>
          <w:color w:val="000000" w:themeColor="text1"/>
        </w:rPr>
        <w:t>Younger applicants (Age &lt; 25) face a selection rate of 38.2% compared to 64.1% for applicants aged &gt;= 25. The Disparate Impact ratio is 0.596 (substantially below the regulatory 0.80 four-fifths threshold), demonstrating systemic age penalty.</w:t>
      </w:r>
    </w:p>
    <w:p w14:paraId="24392D98"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German Foreign Worker Status: </w:t>
      </w:r>
      <w:r w:rsidRPr="004355B8">
        <w:rPr>
          <w:rFonts w:ascii="Times New Roman" w:hAnsi="Times New Roman" w:cs="Times New Roman"/>
          <w:color w:val="000000" w:themeColor="text1"/>
        </w:rPr>
        <w:t>Domestic applicants achieve a selection rate of 81.1% versus 58.4% for foreign workers, indicating potential institutional disparate impact.</w:t>
      </w:r>
    </w:p>
    <w:p w14:paraId="4096E0BB"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Taiwan Sex Disparity: </w:t>
      </w:r>
      <w:r w:rsidRPr="004355B8">
        <w:rPr>
          <w:rFonts w:ascii="Times New Roman" w:hAnsi="Times New Roman" w:cs="Times New Roman"/>
          <w:color w:val="000000" w:themeColor="text1"/>
        </w:rPr>
        <w:t>Female clients exhibit a base default rate of 20.8% and selection approval rate of 74.2%, whereas male clients exhibit a default rate of 24.2% and selection rate of 70.1%, demonstrating near-parity (Disparate Impact ratio = 0.945).</w:t>
      </w:r>
    </w:p>
    <w:p w14:paraId="77384ED5"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8. Robustness Stress-Testing under Feature Measurement Noise</w:t>
      </w:r>
    </w:p>
    <w:p w14:paraId="4635269B"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In accordance with Section 3d of the coursework descriptor, we formulated and empirically tested the following hypothesis:</w:t>
      </w:r>
      <w:r w:rsidRPr="004355B8">
        <w:rPr>
          <w:rFonts w:ascii="Times New Roman" w:hAnsi="Times New Roman" w:cs="Times New Roman"/>
          <w:color w:val="000000" w:themeColor="text1"/>
        </w:rPr>
        <w:br/>
        <w:t>Hypothesis: Tree ensemble architectures (Random Forest, XGBoost) maintain significantly higher generalization stability under continuous feature noise compared to linear models (Logistic Regression).</w:t>
      </w:r>
    </w:p>
    <w:p w14:paraId="0016F170"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Experimental Protocol: We injected zero-mean Gaussian noise scaled to the training standard deviation of each continuous feature (sigma in [0.0, 1.0]) into validation features only and tracked the degradation rate of MCC.</w:t>
      </w:r>
    </w:p>
    <w:p w14:paraId="0B390319" w14:textId="77777777" w:rsidR="00EB757C" w:rsidRPr="004355B8" w:rsidRDefault="00000000">
      <w:pPr>
        <w:rPr>
          <w:rFonts w:ascii="Times New Roman" w:hAnsi="Times New Roman" w:cs="Times New Roman"/>
          <w:color w:val="000000" w:themeColor="text1"/>
        </w:rPr>
      </w:pPr>
      <w:r w:rsidRPr="004355B8">
        <w:rPr>
          <w:rFonts w:ascii="Times New Roman" w:hAnsi="Times New Roman" w:cs="Times New Roman"/>
          <w:noProof/>
          <w:color w:val="000000" w:themeColor="text1"/>
        </w:rPr>
        <w:drawing>
          <wp:inline distT="0" distB="0" distL="0" distR="0" wp14:anchorId="16E10504" wp14:editId="518A372E">
            <wp:extent cx="5669280" cy="2125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_stress_degradation.png"/>
                    <pic:cNvPicPr/>
                  </pic:nvPicPr>
                  <pic:blipFill>
                    <a:blip r:embed="rId9"/>
                    <a:stretch>
                      <a:fillRect/>
                    </a:stretch>
                  </pic:blipFill>
                  <pic:spPr>
                    <a:xfrm>
                      <a:off x="0" y="0"/>
                      <a:ext cx="5669280" cy="2125980"/>
                    </a:xfrm>
                    <a:prstGeom prst="rect">
                      <a:avLst/>
                    </a:prstGeom>
                  </pic:spPr>
                </pic:pic>
              </a:graphicData>
            </a:graphic>
          </wp:inline>
        </w:drawing>
      </w:r>
    </w:p>
    <w:p w14:paraId="25388C69" w14:textId="77777777" w:rsidR="00EB757C" w:rsidRPr="004355B8" w:rsidRDefault="00000000">
      <w:pPr>
        <w:jc w:val="center"/>
        <w:rPr>
          <w:rFonts w:ascii="Times New Roman" w:hAnsi="Times New Roman" w:cs="Times New Roman"/>
          <w:color w:val="000000" w:themeColor="text1"/>
        </w:rPr>
      </w:pPr>
      <w:r w:rsidRPr="004355B8">
        <w:rPr>
          <w:rFonts w:ascii="Times New Roman" w:hAnsi="Times New Roman" w:cs="Times New Roman"/>
          <w:i/>
          <w:color w:val="000000" w:themeColor="text1"/>
          <w:sz w:val="19"/>
        </w:rPr>
        <w:t>Figure 8.1: Matthews Correlation Coefficient (MCC) degradation curves under increasing levels of Gaussian feature noise.</w:t>
      </w:r>
    </w:p>
    <w:p w14:paraId="056F4D5E"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lastRenderedPageBreak/>
        <w:t>Detailed Interpretation of Figure 8.1:</w:t>
      </w:r>
      <w:r w:rsidRPr="004355B8">
        <w:rPr>
          <w:rFonts w:ascii="Times New Roman" w:hAnsi="Times New Roman" w:cs="Times New Roman"/>
          <w:color w:val="000000" w:themeColor="text1"/>
        </w:rPr>
        <w:br/>
        <w:t>The stress-testing results confirm our hypothesis. As noise increases from 0.0 to 1.0, Logistic Regression exhibits the steepest degradation slope, with MCC dropping by over 45% due to linear boundary sensitivity. In contrast, XGBoost and Random Forest maintain orthogonal axis-aligned partition stability, experiencing less than a 15% degradation in MCC. This proves that gradient-boosted decision trees provide superior structural robustness for real-world deployment.</w:t>
      </w:r>
    </w:p>
    <w:p w14:paraId="19F7B969"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9. Proposed Algorithmic Alternatives &amp; Architectural Recommendations</w:t>
      </w:r>
    </w:p>
    <w:p w14:paraId="4F90B5B4"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Based on our empirical findings, we propose three concrete algorithmic alternatives to the authors' methodology:</w:t>
      </w:r>
    </w:p>
    <w:p w14:paraId="7D979BF2"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1. Gradient Boosted Trees (XGBoost/LightGBM) over Deep Learning: </w:t>
      </w:r>
      <w:r w:rsidRPr="004355B8">
        <w:rPr>
          <w:rFonts w:ascii="Times New Roman" w:hAnsi="Times New Roman" w:cs="Times New Roman"/>
          <w:color w:val="000000" w:themeColor="text1"/>
        </w:rPr>
        <w:t>For tabular credit risk datasets, deep learning architectures (CNN, LSTM) offer no inductive bias advantages and suffer from extreme over-parameterization. XGBoost combined with in-fold signed log-scaling and cost-sensitive loss weighting provides superior discrimination (PR-AUC = 0.630), faster training (&lt; 5 seconds vs &gt; 5 minutes for MLP/LSTM), and native handling of sparsity.</w:t>
      </w:r>
    </w:p>
    <w:p w14:paraId="3C467FC9"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2. Cost-Sensitive In-Fold Thresholding over Resampling: </w:t>
      </w:r>
      <w:r w:rsidRPr="004355B8">
        <w:rPr>
          <w:rFonts w:ascii="Times New Roman" w:hAnsi="Times New Roman" w:cs="Times New Roman"/>
          <w:color w:val="000000" w:themeColor="text1"/>
        </w:rPr>
        <w:t>Synthetic oversampling via SMOTE distorts feature covariance structures and inflates training volume without introducing new information. Applying cost-sensitive weights (scale_pos_weight = N_neg / N_pos) coupled with in-fold threshold tuning achieves lower total financial loss than any SMOTE-ENN variant.</w:t>
      </w:r>
    </w:p>
    <w:p w14:paraId="77A11902" w14:textId="77777777" w:rsidR="00EB757C" w:rsidRPr="004355B8" w:rsidRDefault="00000000">
      <w:pPr>
        <w:pStyle w:val="ListBullet"/>
        <w:spacing w:after="60"/>
        <w:rPr>
          <w:rFonts w:ascii="Times New Roman" w:hAnsi="Times New Roman" w:cs="Times New Roman"/>
          <w:color w:val="000000" w:themeColor="text1"/>
        </w:rPr>
      </w:pPr>
      <w:r w:rsidRPr="004355B8">
        <w:rPr>
          <w:rFonts w:ascii="Times New Roman" w:hAnsi="Times New Roman" w:cs="Times New Roman"/>
          <w:b/>
          <w:color w:val="000000" w:themeColor="text1"/>
        </w:rPr>
        <w:t xml:space="preserve">3. Post-Hoc Isotonic or Platt Calibration: </w:t>
      </w:r>
      <w:r w:rsidRPr="004355B8">
        <w:rPr>
          <w:rFonts w:ascii="Times New Roman" w:hAnsi="Times New Roman" w:cs="Times New Roman"/>
          <w:color w:val="000000" w:themeColor="text1"/>
        </w:rPr>
        <w:t>Deploying calibrated classifiers guarantees that model scores reflect actual default probabilities, enabling dynamic loan interest pricing and risk-adjusted return on capital (RAROC) calculations.</w:t>
      </w:r>
    </w:p>
    <w:p w14:paraId="7A495D81" w14:textId="77777777" w:rsidR="00EB757C" w:rsidRPr="004355B8" w:rsidRDefault="00000000">
      <w:pPr>
        <w:keepNext/>
        <w:spacing w:before="320" w:after="120"/>
        <w:rPr>
          <w:rFonts w:ascii="Times New Roman" w:hAnsi="Times New Roman" w:cs="Times New Roman"/>
          <w:color w:val="000000" w:themeColor="text1"/>
        </w:rPr>
      </w:pPr>
      <w:r w:rsidRPr="004355B8">
        <w:rPr>
          <w:rFonts w:ascii="Times New Roman" w:hAnsi="Times New Roman" w:cs="Times New Roman"/>
          <w:b/>
          <w:color w:val="000000" w:themeColor="text1"/>
          <w:sz w:val="28"/>
        </w:rPr>
        <w:t>10. Conclusion and Synthesis</w:t>
      </w:r>
    </w:p>
    <w:p w14:paraId="6B9520C3" w14:textId="77777777" w:rsidR="00EB757C" w:rsidRPr="004355B8" w:rsidRDefault="00000000">
      <w:pPr>
        <w:spacing w:after="120"/>
        <w:rPr>
          <w:rFonts w:ascii="Times New Roman" w:hAnsi="Times New Roman" w:cs="Times New Roman"/>
          <w:color w:val="000000" w:themeColor="text1"/>
        </w:rPr>
      </w:pPr>
      <w:r w:rsidRPr="004355B8">
        <w:rPr>
          <w:rFonts w:ascii="Times New Roman" w:hAnsi="Times New Roman" w:cs="Times New Roman"/>
          <w:color w:val="000000" w:themeColor="text1"/>
        </w:rPr>
        <w:t>This coursework has successfully evaluated, replicated, and enhanced the credit risk prediction methodology proposed by Mapfumo &amp; Shongwe (2026). Our investigation achieved three primary milestones:</w:t>
      </w:r>
      <w:r w:rsidRPr="004355B8">
        <w:rPr>
          <w:rFonts w:ascii="Times New Roman" w:hAnsi="Times New Roman" w:cs="Times New Roman"/>
          <w:color w:val="000000" w:themeColor="text1"/>
        </w:rPr>
        <w:br/>
        <w:t>1. We identified critical data pipeline flaws in the published work, including omitted scaling, categorical interpolation, and unaddressed data anomalies.</w:t>
      </w:r>
      <w:r w:rsidRPr="004355B8">
        <w:rPr>
          <w:rFonts w:ascii="Times New Roman" w:hAnsi="Times New Roman" w:cs="Times New Roman"/>
          <w:color w:val="000000" w:themeColor="text1"/>
        </w:rPr>
        <w:br/>
        <w:t>2. We established an enterprise-grade, leak-free pipeline incorporating SMOTE-NC, SkewLog stabilization, repeated stratified nested cross-validation, and the German 5:1 cost matrix.</w:t>
      </w:r>
      <w:r w:rsidRPr="004355B8">
        <w:rPr>
          <w:rFonts w:ascii="Times New Roman" w:hAnsi="Times New Roman" w:cs="Times New Roman"/>
          <w:color w:val="000000" w:themeColor="text1"/>
        </w:rPr>
        <w:br/>
        <w:t>3. We provided definitive empirical proof that the published German F1 score of 0.937 was an artifact of pre-split data leakage, demonstrating that properly validated models plateau at F1 = 0.581 on German Credit and F1 = 0.524 on Taiwan Credit.</w:t>
      </w:r>
      <w:r w:rsidRPr="004355B8">
        <w:rPr>
          <w:rFonts w:ascii="Times New Roman" w:hAnsi="Times New Roman" w:cs="Times New Roman"/>
          <w:color w:val="000000" w:themeColor="text1"/>
        </w:rPr>
        <w:br/>
        <w:t>These findings demonstrate that methodological rigor, strict cross-validation containment, and cost-sensitive loss modeling are far more vital for reliable credit risk assessment than complex, over-parameterized neural networks.</w:t>
      </w:r>
    </w:p>
    <w:p w14:paraId="4C2C4982" w14:textId="191846FD" w:rsidR="00EB757C" w:rsidRPr="004355B8" w:rsidRDefault="00EB757C">
      <w:pPr>
        <w:spacing w:after="80"/>
        <w:ind w:left="576" w:hanging="576"/>
        <w:rPr>
          <w:rFonts w:ascii="Times New Roman" w:hAnsi="Times New Roman" w:cs="Times New Roman"/>
          <w:color w:val="000000" w:themeColor="text1"/>
        </w:rPr>
      </w:pPr>
    </w:p>
    <w:sectPr w:rsidR="00EB757C" w:rsidRPr="004355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83879">
    <w:abstractNumId w:val="8"/>
  </w:num>
  <w:num w:numId="2" w16cid:durableId="1078206484">
    <w:abstractNumId w:val="6"/>
  </w:num>
  <w:num w:numId="3" w16cid:durableId="1479689481">
    <w:abstractNumId w:val="5"/>
  </w:num>
  <w:num w:numId="4" w16cid:durableId="590703999">
    <w:abstractNumId w:val="4"/>
  </w:num>
  <w:num w:numId="5" w16cid:durableId="248538071">
    <w:abstractNumId w:val="7"/>
  </w:num>
  <w:num w:numId="6" w16cid:durableId="1863546217">
    <w:abstractNumId w:val="3"/>
  </w:num>
  <w:num w:numId="7" w16cid:durableId="828328558">
    <w:abstractNumId w:val="2"/>
  </w:num>
  <w:num w:numId="8" w16cid:durableId="1566843412">
    <w:abstractNumId w:val="1"/>
  </w:num>
  <w:num w:numId="9" w16cid:durableId="42299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5B8"/>
    <w:rsid w:val="00874B0B"/>
    <w:rsid w:val="00AA1D8D"/>
    <w:rsid w:val="00B47730"/>
    <w:rsid w:val="00CB0664"/>
    <w:rsid w:val="00D461E3"/>
    <w:rsid w:val="00EB75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1924F"/>
  <w14:defaultImageDpi w14:val="300"/>
  <w15:docId w15:val="{F60FA15C-C1F3-4D39-B16D-EFB75DB8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10</Pages>
  <Words>3247</Words>
  <Characters>18513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WIJETHUNGA S M K I</cp:lastModifiedBy>
  <cp:revision>2</cp:revision>
  <dcterms:created xsi:type="dcterms:W3CDTF">2013-12-23T23:15:00Z</dcterms:created>
  <dcterms:modified xsi:type="dcterms:W3CDTF">2026-10-14T18:47:00Z</dcterms:modified>
  <cp:category/>
</cp:coreProperties>
</file>