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373A0" w:rsidRDefault="00000000">
      <w:pPr>
        <w:spacing w:after="80"/>
        <w:jc w:val="center"/>
      </w:pPr>
      <w:r>
        <w:rPr>
          <w:b/>
          <w:bCs/>
          <w:caps/>
          <w:color w:val="D85A30"/>
          <w:sz w:val="18"/>
          <w:szCs w:val="18"/>
        </w:rPr>
        <w:t>POLICY INSIGHT REPORT</w:t>
      </w:r>
    </w:p>
    <w:p w:rsidR="00A373A0" w:rsidRDefault="00000000">
      <w:pPr>
        <w:spacing w:after="80"/>
        <w:jc w:val="center"/>
      </w:pPr>
      <w:r>
        <w:rPr>
          <w:b/>
          <w:bCs/>
          <w:color w:val="1A1A1A"/>
          <w:sz w:val="40"/>
          <w:szCs w:val="40"/>
        </w:rPr>
        <w:t>Jharkhand School Dropout Crisis</w:t>
      </w:r>
    </w:p>
    <w:p w:rsidR="00A373A0" w:rsidRDefault="00000000">
      <w:pPr>
        <w:spacing w:after="80"/>
        <w:jc w:val="center"/>
      </w:pPr>
      <w:r>
        <w:rPr>
          <w:color w:val="5F5E5A"/>
          <w:sz w:val="22"/>
          <w:szCs w:val="22"/>
        </w:rPr>
        <w:t>A District-Level Analysis Using UDISE+ 2024-25 Data</w:t>
      </w:r>
    </w:p>
    <w:p w:rsidR="00A373A0" w:rsidRDefault="00000000">
      <w:pPr>
        <w:spacing w:after="240"/>
        <w:jc w:val="center"/>
      </w:pPr>
      <w:r>
        <w:rPr>
          <w:i/>
          <w:iCs/>
          <w:color w:val="5F5E5A"/>
          <w:sz w:val="18"/>
          <w:szCs w:val="18"/>
        </w:rPr>
        <w:t xml:space="preserve">Kajal </w:t>
      </w:r>
      <w:proofErr w:type="gramStart"/>
      <w:r>
        <w:rPr>
          <w:i/>
          <w:iCs/>
          <w:color w:val="5F5E5A"/>
          <w:sz w:val="18"/>
          <w:szCs w:val="18"/>
        </w:rPr>
        <w:t>Kumari  |</w:t>
      </w:r>
      <w:proofErr w:type="gramEnd"/>
      <w:r>
        <w:rPr>
          <w:i/>
          <w:iCs/>
          <w:color w:val="5F5E5A"/>
          <w:sz w:val="18"/>
          <w:szCs w:val="18"/>
        </w:rPr>
        <w:t xml:space="preserve">  Assistant System Engineer, </w:t>
      </w:r>
      <w:proofErr w:type="gramStart"/>
      <w:r>
        <w:rPr>
          <w:i/>
          <w:iCs/>
          <w:color w:val="5F5E5A"/>
          <w:sz w:val="18"/>
          <w:szCs w:val="18"/>
        </w:rPr>
        <w:t>TCS  |</w:t>
      </w:r>
      <w:proofErr w:type="gramEnd"/>
      <w:r>
        <w:rPr>
          <w:i/>
          <w:iCs/>
          <w:color w:val="5F5E5A"/>
          <w:sz w:val="18"/>
          <w:szCs w:val="18"/>
        </w:rPr>
        <w:t xml:space="preserve">  NSS Volunteer 2021–23</w:t>
      </w:r>
    </w:p>
    <w:p w:rsidR="00A373A0" w:rsidRDefault="00A373A0">
      <w:pPr>
        <w:pBdr>
          <w:bottom w:val="single" w:sz="6" w:space="0" w:color="F1EFE8"/>
        </w:pBdr>
        <w:spacing w:before="160" w:after="160"/>
      </w:pPr>
    </w:p>
    <w:p w:rsidR="00A373A0" w:rsidRDefault="00000000">
      <w:pPr>
        <w:spacing w:before="320" w:after="120"/>
      </w:pPr>
      <w:r>
        <w:rPr>
          <w:b/>
          <w:bCs/>
          <w:color w:val="1A1A1A"/>
          <w:sz w:val="28"/>
          <w:szCs w:val="28"/>
        </w:rPr>
        <w:t>Executive Summary</w:t>
      </w:r>
    </w:p>
    <w:p w:rsidR="00A373A0" w:rsidRDefault="00000000">
      <w:pPr>
        <w:spacing w:before="80" w:after="80"/>
        <w:jc w:val="both"/>
      </w:pPr>
      <w:r>
        <w:rPr>
          <w:color w:val="3D3D3A"/>
        </w:rPr>
        <w:t xml:space="preserve">Jharkhand's official dropout statistics significantly undercount the true scale of the state's education crisis. While reported dropout rates at the Secondary level appear low, transition rate data from UDISE+ 2024-25 </w:t>
      </w:r>
      <w:r w:rsidR="00DF7B58">
        <w:rPr>
          <w:color w:val="3D3D3A"/>
        </w:rPr>
        <w:t>reveal</w:t>
      </w:r>
      <w:r>
        <w:rPr>
          <w:color w:val="3D3D3A"/>
        </w:rPr>
        <w:t xml:space="preserve"> a far more alarming picture: on average, 19.74% of students who complete Class 8 never reach Class 9 — silently disappearing from the education system without being counted as dropouts. In the worst-affected district, </w:t>
      </w:r>
      <w:proofErr w:type="spellStart"/>
      <w:r>
        <w:rPr>
          <w:color w:val="3D3D3A"/>
        </w:rPr>
        <w:t>Pakur</w:t>
      </w:r>
      <w:proofErr w:type="spellEnd"/>
      <w:r>
        <w:rPr>
          <w:color w:val="3D3D3A"/>
        </w:rPr>
        <w:t>, this figure reaches 38.30%.</w:t>
      </w:r>
    </w:p>
    <w:p w:rsidR="00A373A0" w:rsidRDefault="00000000">
      <w:pPr>
        <w:spacing w:before="80" w:after="80"/>
        <w:jc w:val="both"/>
      </w:pPr>
      <w:r>
        <w:rPr>
          <w:color w:val="3D3D3A"/>
        </w:rPr>
        <w:t>This report analyses data across all 24 Jharkhand districts to identify where the crisis is most acute, what structural factors drive it, and which policy interventions the data supports.</w:t>
      </w:r>
    </w:p>
    <w:p w:rsidR="00A373A0" w:rsidRDefault="00A373A0">
      <w:pPr>
        <w:pBdr>
          <w:bottom w:val="single" w:sz="6" w:space="0" w:color="F1EFE8"/>
        </w:pBdr>
        <w:spacing w:before="160" w:after="160"/>
      </w:pPr>
    </w:p>
    <w:p w:rsidR="00A373A0" w:rsidRDefault="00000000">
      <w:pPr>
        <w:spacing w:before="320" w:after="120"/>
      </w:pPr>
      <w:r>
        <w:rPr>
          <w:b/>
          <w:bCs/>
          <w:color w:val="1A1A1A"/>
          <w:sz w:val="28"/>
          <w:szCs w:val="28"/>
        </w:rPr>
        <w:t>Key Statistics at a Glance</w:t>
      </w: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A373A0">
        <w:tblPrEx>
          <w:tblCellMar>
            <w:top w:w="0" w:type="dxa"/>
            <w:bottom w:w="0" w:type="dxa"/>
          </w:tblCellMar>
        </w:tblPrEx>
        <w:tc>
          <w:tcPr>
            <w:tcW w:w="1250" w:type="pct"/>
            <w:shd w:val="solid" w:color="F1EFE8" w:fill="auto"/>
            <w:tcMar>
              <w:top w:w="120" w:type="dxa"/>
              <w:left w:w="120" w:type="dxa"/>
              <w:bottom w:w="120" w:type="dxa"/>
              <w:right w:w="120" w:type="dxa"/>
            </w:tcMar>
          </w:tcPr>
          <w:p w:rsidR="00A373A0" w:rsidRDefault="00000000">
            <w:pPr>
              <w:jc w:val="center"/>
            </w:pPr>
            <w:r>
              <w:rPr>
                <w:b/>
                <w:bCs/>
                <w:color w:val="D85A30"/>
                <w:sz w:val="40"/>
                <w:szCs w:val="40"/>
              </w:rPr>
              <w:t>19.74%</w:t>
            </w:r>
          </w:p>
          <w:p w:rsidR="00A373A0" w:rsidRDefault="00000000">
            <w:pPr>
              <w:jc w:val="center"/>
            </w:pPr>
            <w:r>
              <w:rPr>
                <w:color w:val="5F5E5A"/>
                <w:sz w:val="16"/>
                <w:szCs w:val="16"/>
              </w:rPr>
              <w:t>State avg hidden dropout (Class 8 → 9)</w:t>
            </w:r>
          </w:p>
        </w:tc>
        <w:tc>
          <w:tcPr>
            <w:tcW w:w="1250" w:type="pct"/>
            <w:shd w:val="solid" w:color="F1EFE8" w:fill="auto"/>
            <w:tcMar>
              <w:top w:w="120" w:type="dxa"/>
              <w:left w:w="120" w:type="dxa"/>
              <w:bottom w:w="120" w:type="dxa"/>
              <w:right w:w="120" w:type="dxa"/>
            </w:tcMar>
          </w:tcPr>
          <w:p w:rsidR="00A373A0" w:rsidRDefault="00000000">
            <w:pPr>
              <w:jc w:val="center"/>
            </w:pPr>
            <w:r>
              <w:rPr>
                <w:b/>
                <w:bCs/>
                <w:color w:val="D85A30"/>
                <w:sz w:val="40"/>
                <w:szCs w:val="40"/>
              </w:rPr>
              <w:t>38.30%</w:t>
            </w:r>
          </w:p>
          <w:p w:rsidR="00A373A0" w:rsidRDefault="00000000">
            <w:pPr>
              <w:jc w:val="center"/>
            </w:pPr>
            <w:r>
              <w:rPr>
                <w:color w:val="5F5E5A"/>
                <w:sz w:val="16"/>
                <w:szCs w:val="16"/>
              </w:rPr>
              <w:t xml:space="preserve">Worst district </w:t>
            </w:r>
            <w:proofErr w:type="spellStart"/>
            <w:r>
              <w:rPr>
                <w:color w:val="5F5E5A"/>
                <w:sz w:val="16"/>
                <w:szCs w:val="16"/>
              </w:rPr>
              <w:t>Pakaur</w:t>
            </w:r>
            <w:proofErr w:type="spellEnd"/>
          </w:p>
        </w:tc>
        <w:tc>
          <w:tcPr>
            <w:tcW w:w="1250" w:type="pct"/>
            <w:shd w:val="solid" w:color="F1EFE8" w:fill="auto"/>
            <w:tcMar>
              <w:top w:w="120" w:type="dxa"/>
              <w:left w:w="120" w:type="dxa"/>
              <w:bottom w:w="120" w:type="dxa"/>
              <w:right w:w="120" w:type="dxa"/>
            </w:tcMar>
          </w:tcPr>
          <w:p w:rsidR="00A373A0" w:rsidRDefault="00000000">
            <w:pPr>
              <w:jc w:val="center"/>
            </w:pPr>
            <w:r>
              <w:rPr>
                <w:b/>
                <w:bCs/>
                <w:color w:val="854F0B"/>
                <w:sz w:val="40"/>
                <w:szCs w:val="40"/>
              </w:rPr>
              <w:t>43.33</w:t>
            </w:r>
          </w:p>
          <w:p w:rsidR="00A373A0" w:rsidRDefault="00000000">
            <w:pPr>
              <w:jc w:val="center"/>
            </w:pPr>
            <w:r>
              <w:rPr>
                <w:color w:val="5F5E5A"/>
                <w:sz w:val="16"/>
                <w:szCs w:val="16"/>
              </w:rPr>
              <w:t>Avg PTR Secondary (RTE norm = 30)</w:t>
            </w:r>
          </w:p>
        </w:tc>
        <w:tc>
          <w:tcPr>
            <w:tcW w:w="1250" w:type="pct"/>
            <w:shd w:val="solid" w:color="F1EFE8" w:fill="auto"/>
            <w:tcMar>
              <w:top w:w="120" w:type="dxa"/>
              <w:left w:w="120" w:type="dxa"/>
              <w:bottom w:w="120" w:type="dxa"/>
              <w:right w:w="120" w:type="dxa"/>
            </w:tcMar>
          </w:tcPr>
          <w:p w:rsidR="00A373A0" w:rsidRDefault="00000000">
            <w:pPr>
              <w:jc w:val="center"/>
            </w:pPr>
            <w:r>
              <w:rPr>
                <w:b/>
                <w:bCs/>
                <w:color w:val="3C3489"/>
                <w:sz w:val="40"/>
                <w:szCs w:val="40"/>
              </w:rPr>
              <w:t>74.4 Lakh</w:t>
            </w:r>
          </w:p>
          <w:p w:rsidR="00A373A0" w:rsidRDefault="00000000">
            <w:pPr>
              <w:jc w:val="center"/>
            </w:pPr>
            <w:r>
              <w:rPr>
                <w:color w:val="5F5E5A"/>
                <w:sz w:val="16"/>
                <w:szCs w:val="16"/>
              </w:rPr>
              <w:t>Total students enrolled</w:t>
            </w:r>
          </w:p>
        </w:tc>
      </w:tr>
    </w:tbl>
    <w:p w:rsidR="00A373A0" w:rsidRDefault="00A373A0">
      <w:pPr>
        <w:spacing w:before="200"/>
      </w:pPr>
    </w:p>
    <w:p w:rsidR="00A373A0" w:rsidRDefault="00A373A0">
      <w:pPr>
        <w:pBdr>
          <w:bottom w:val="single" w:sz="6" w:space="0" w:color="F1EFE8"/>
        </w:pBdr>
        <w:spacing w:before="160" w:after="160"/>
      </w:pPr>
    </w:p>
    <w:p w:rsidR="00A373A0" w:rsidRDefault="00000000">
      <w:pPr>
        <w:spacing w:before="320" w:after="120"/>
      </w:pPr>
      <w:r>
        <w:rPr>
          <w:b/>
          <w:bCs/>
          <w:color w:val="1A1A1A"/>
          <w:sz w:val="28"/>
          <w:szCs w:val="28"/>
        </w:rPr>
        <w:t>Why This Matters: Jharkhand in 2025</w:t>
      </w:r>
    </w:p>
    <w:p w:rsidR="00A373A0" w:rsidRDefault="00000000">
      <w:pPr>
        <w:spacing w:before="80" w:after="80"/>
        <w:jc w:val="both"/>
      </w:pPr>
      <w:r>
        <w:rPr>
          <w:color w:val="3D3D3A"/>
        </w:rPr>
        <w:t>As Jharkhand marks its 25th year as a state, it faces a structural paradox: vast mineral wealth has not translated into educational opportunity. The state's coal-dependent economy is under pressure to diversify — but economic diversification requires an educated, skilled workforce. That workforce begins in school.</w:t>
      </w:r>
    </w:p>
    <w:p w:rsidR="00A373A0" w:rsidRDefault="00000000">
      <w:pPr>
        <w:spacing w:before="80" w:after="80"/>
        <w:jc w:val="both"/>
      </w:pPr>
      <w:r>
        <w:rPr>
          <w:color w:val="3D3D3A"/>
        </w:rPr>
        <w:t>The data reveals three overlapping crises that compound each other:</w:t>
      </w:r>
    </w:p>
    <w:p w:rsidR="00A373A0" w:rsidRDefault="00000000">
      <w:pPr>
        <w:pStyle w:val="ListParagraph"/>
        <w:numPr>
          <w:ilvl w:val="0"/>
          <w:numId w:val="1"/>
        </w:numPr>
        <w:spacing w:before="60" w:after="60"/>
        <w:ind w:left="360"/>
      </w:pPr>
      <w:r>
        <w:rPr>
          <w:b/>
          <w:bCs/>
          <w:color w:val="2C2C2A"/>
        </w:rPr>
        <w:t xml:space="preserve">Teacher crisis: </w:t>
      </w:r>
      <w:r>
        <w:rPr>
          <w:color w:val="3D3D3A"/>
        </w:rPr>
        <w:t>A teacher shortage that far exceeds national norms, with an average Pupil-Teacher Ratio of 43.33 at Secondary level against an RTE mandate of 30.</w:t>
      </w:r>
    </w:p>
    <w:p w:rsidR="00A373A0" w:rsidRDefault="00000000">
      <w:pPr>
        <w:pStyle w:val="ListParagraph"/>
        <w:numPr>
          <w:ilvl w:val="0"/>
          <w:numId w:val="1"/>
        </w:numPr>
        <w:spacing w:before="60" w:after="60"/>
        <w:ind w:left="360"/>
      </w:pPr>
      <w:r>
        <w:rPr>
          <w:b/>
          <w:bCs/>
          <w:color w:val="2C2C2A"/>
        </w:rPr>
        <w:t xml:space="preserve">Infrastructure gap: </w:t>
      </w:r>
      <w:r>
        <w:rPr>
          <w:color w:val="3D3D3A"/>
        </w:rPr>
        <w:t>An infrastructure deficit: only 10.14% of schools statewide have functional smart classrooms, and fewer than 44% have functional computer facilities.</w:t>
      </w:r>
    </w:p>
    <w:p w:rsidR="00A373A0" w:rsidRDefault="00000000">
      <w:pPr>
        <w:pStyle w:val="ListParagraph"/>
        <w:numPr>
          <w:ilvl w:val="0"/>
          <w:numId w:val="1"/>
        </w:numPr>
        <w:spacing w:before="60" w:after="60"/>
        <w:ind w:left="360"/>
      </w:pPr>
      <w:r>
        <w:rPr>
          <w:b/>
          <w:bCs/>
          <w:color w:val="2C2C2A"/>
        </w:rPr>
        <w:t xml:space="preserve">Data blind spot: </w:t>
      </w:r>
      <w:r>
        <w:rPr>
          <w:color w:val="3D3D3A"/>
        </w:rPr>
        <w:t xml:space="preserve">A measurement failure: official dropout statistics miss </w:t>
      </w:r>
      <w:proofErr w:type="gramStart"/>
      <w:r>
        <w:rPr>
          <w:color w:val="3D3D3A"/>
        </w:rPr>
        <w:t>the majority of</w:t>
      </w:r>
      <w:proofErr w:type="gramEnd"/>
      <w:r>
        <w:rPr>
          <w:color w:val="3D3D3A"/>
        </w:rPr>
        <w:t xml:space="preserve"> student attrition, which happens at transition points rather than mid-year.</w:t>
      </w:r>
    </w:p>
    <w:p w:rsidR="00A373A0" w:rsidRDefault="00A373A0">
      <w:pPr>
        <w:pBdr>
          <w:bottom w:val="single" w:sz="6" w:space="0" w:color="F1EFE8"/>
        </w:pBdr>
        <w:spacing w:before="160" w:after="160"/>
      </w:pPr>
    </w:p>
    <w:p w:rsidR="00A373A0" w:rsidRDefault="00000000">
      <w:pPr>
        <w:spacing w:before="320" w:after="120"/>
      </w:pPr>
      <w:r>
        <w:rPr>
          <w:b/>
          <w:bCs/>
          <w:color w:val="1A1A1A"/>
          <w:sz w:val="28"/>
          <w:szCs w:val="28"/>
        </w:rPr>
        <w:t>The 5 Most At-Risk Districts</w:t>
      </w:r>
    </w:p>
    <w:p w:rsidR="00A373A0" w:rsidRDefault="00000000">
      <w:pPr>
        <w:spacing w:before="80" w:after="80"/>
        <w:jc w:val="both"/>
      </w:pPr>
      <w:r>
        <w:rPr>
          <w:color w:val="3D3D3A"/>
        </w:rPr>
        <w:t>The following districts require the most urgent intervention based on combined dropout and PTR data:</w:t>
      </w:r>
    </w:p>
    <w:p w:rsidR="00A373A0" w:rsidRDefault="00A373A0">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2"/>
        <w:gridCol w:w="2486"/>
        <w:gridCol w:w="2431"/>
        <w:gridCol w:w="2158"/>
        <w:gridCol w:w="1483"/>
      </w:tblGrid>
      <w:tr w:rsidR="00A373A0">
        <w:tblPrEx>
          <w:tblCellMar>
            <w:top w:w="0" w:type="dxa"/>
            <w:bottom w:w="0" w:type="dxa"/>
          </w:tblCellMar>
        </w:tblPrEx>
        <w:trPr>
          <w:tblHeader/>
        </w:trPr>
        <w:tc>
          <w:tcPr>
            <w:tcW w:w="0" w:type="auto"/>
            <w:shd w:val="solid" w:color="2C2C2A" w:fill="auto"/>
            <w:tcMar>
              <w:top w:w="80" w:type="dxa"/>
              <w:left w:w="120" w:type="dxa"/>
              <w:bottom w:w="80" w:type="dxa"/>
              <w:right w:w="120" w:type="dxa"/>
            </w:tcMar>
          </w:tcPr>
          <w:p w:rsidR="00A373A0" w:rsidRDefault="00000000">
            <w:r>
              <w:rPr>
                <w:b/>
                <w:bCs/>
                <w:color w:val="FFFFFF"/>
                <w:sz w:val="18"/>
                <w:szCs w:val="18"/>
              </w:rPr>
              <w:t>District</w:t>
            </w:r>
          </w:p>
        </w:tc>
        <w:tc>
          <w:tcPr>
            <w:tcW w:w="0" w:type="auto"/>
            <w:shd w:val="solid" w:color="2C2C2A" w:fill="auto"/>
            <w:tcMar>
              <w:top w:w="80" w:type="dxa"/>
              <w:left w:w="120" w:type="dxa"/>
              <w:bottom w:w="80" w:type="dxa"/>
              <w:right w:w="120" w:type="dxa"/>
            </w:tcMar>
          </w:tcPr>
          <w:p w:rsidR="00A373A0" w:rsidRDefault="00000000">
            <w:r>
              <w:rPr>
                <w:b/>
                <w:bCs/>
                <w:color w:val="FFFFFF"/>
                <w:sz w:val="18"/>
                <w:szCs w:val="18"/>
              </w:rPr>
              <w:t>Hidden Dropout %</w:t>
            </w:r>
          </w:p>
        </w:tc>
        <w:tc>
          <w:tcPr>
            <w:tcW w:w="0" w:type="auto"/>
            <w:shd w:val="solid" w:color="2C2C2A" w:fill="auto"/>
            <w:tcMar>
              <w:top w:w="80" w:type="dxa"/>
              <w:left w:w="120" w:type="dxa"/>
              <w:bottom w:w="80" w:type="dxa"/>
              <w:right w:w="120" w:type="dxa"/>
            </w:tcMar>
          </w:tcPr>
          <w:p w:rsidR="00A373A0" w:rsidRDefault="00000000">
            <w:r>
              <w:rPr>
                <w:b/>
                <w:bCs/>
                <w:color w:val="FFFFFF"/>
                <w:sz w:val="18"/>
                <w:szCs w:val="18"/>
              </w:rPr>
              <w:t>Dropout Middle %</w:t>
            </w:r>
          </w:p>
        </w:tc>
        <w:tc>
          <w:tcPr>
            <w:tcW w:w="0" w:type="auto"/>
            <w:shd w:val="solid" w:color="2C2C2A" w:fill="auto"/>
            <w:tcMar>
              <w:top w:w="80" w:type="dxa"/>
              <w:left w:w="120" w:type="dxa"/>
              <w:bottom w:w="80" w:type="dxa"/>
              <w:right w:w="120" w:type="dxa"/>
            </w:tcMar>
          </w:tcPr>
          <w:p w:rsidR="00A373A0" w:rsidRDefault="00000000">
            <w:r>
              <w:rPr>
                <w:b/>
                <w:bCs/>
                <w:color w:val="FFFFFF"/>
                <w:sz w:val="18"/>
                <w:szCs w:val="18"/>
              </w:rPr>
              <w:t>PTR Secondary</w:t>
            </w:r>
          </w:p>
        </w:tc>
        <w:tc>
          <w:tcPr>
            <w:tcW w:w="0" w:type="auto"/>
            <w:shd w:val="solid" w:color="2C2C2A" w:fill="auto"/>
            <w:tcMar>
              <w:top w:w="80" w:type="dxa"/>
              <w:left w:w="120" w:type="dxa"/>
              <w:bottom w:w="80" w:type="dxa"/>
              <w:right w:w="120" w:type="dxa"/>
            </w:tcMar>
          </w:tcPr>
          <w:p w:rsidR="00A373A0" w:rsidRDefault="00000000">
            <w:r>
              <w:rPr>
                <w:b/>
                <w:bCs/>
                <w:color w:val="FFFFFF"/>
                <w:sz w:val="18"/>
                <w:szCs w:val="18"/>
              </w:rPr>
              <w:t>Priority</w:t>
            </w:r>
          </w:p>
        </w:tc>
      </w:tr>
      <w:tr w:rsidR="00A373A0">
        <w:tblPrEx>
          <w:tblCellMar>
            <w:top w:w="0" w:type="dxa"/>
            <w:bottom w:w="0" w:type="dxa"/>
          </w:tblCellMar>
        </w:tblPrEx>
        <w:tc>
          <w:tcPr>
            <w:tcW w:w="0" w:type="auto"/>
            <w:tcMar>
              <w:top w:w="80" w:type="dxa"/>
              <w:left w:w="120" w:type="dxa"/>
              <w:bottom w:w="80" w:type="dxa"/>
              <w:right w:w="120" w:type="dxa"/>
            </w:tcMar>
          </w:tcPr>
          <w:p w:rsidR="00A373A0" w:rsidRDefault="00000000">
            <w:proofErr w:type="spellStart"/>
            <w:r>
              <w:rPr>
                <w:b/>
                <w:bCs/>
                <w:color w:val="3D3D3A"/>
                <w:sz w:val="18"/>
                <w:szCs w:val="18"/>
              </w:rPr>
              <w:t>Pakur</w:t>
            </w:r>
            <w:proofErr w:type="spellEnd"/>
          </w:p>
        </w:tc>
        <w:tc>
          <w:tcPr>
            <w:tcW w:w="0" w:type="auto"/>
            <w:tcMar>
              <w:top w:w="80" w:type="dxa"/>
              <w:left w:w="120" w:type="dxa"/>
              <w:bottom w:w="80" w:type="dxa"/>
              <w:right w:w="120" w:type="dxa"/>
            </w:tcMar>
          </w:tcPr>
          <w:p w:rsidR="00A373A0" w:rsidRDefault="00000000">
            <w:r>
              <w:rPr>
                <w:color w:val="3D3D3A"/>
                <w:sz w:val="18"/>
                <w:szCs w:val="18"/>
              </w:rPr>
              <w:t>38.30%</w:t>
            </w:r>
          </w:p>
        </w:tc>
        <w:tc>
          <w:tcPr>
            <w:tcW w:w="0" w:type="auto"/>
            <w:tcMar>
              <w:top w:w="80" w:type="dxa"/>
              <w:left w:w="120" w:type="dxa"/>
              <w:bottom w:w="80" w:type="dxa"/>
              <w:right w:w="120" w:type="dxa"/>
            </w:tcMar>
          </w:tcPr>
          <w:p w:rsidR="00A373A0" w:rsidRDefault="00000000">
            <w:r>
              <w:rPr>
                <w:color w:val="3D3D3A"/>
                <w:sz w:val="18"/>
                <w:szCs w:val="18"/>
              </w:rPr>
              <w:t>11.0%</w:t>
            </w:r>
          </w:p>
        </w:tc>
        <w:tc>
          <w:tcPr>
            <w:tcW w:w="0" w:type="auto"/>
            <w:tcMar>
              <w:top w:w="80" w:type="dxa"/>
              <w:left w:w="120" w:type="dxa"/>
              <w:bottom w:w="80" w:type="dxa"/>
              <w:right w:w="120" w:type="dxa"/>
            </w:tcMar>
          </w:tcPr>
          <w:p w:rsidR="00A373A0" w:rsidRDefault="00000000">
            <w:r>
              <w:rPr>
                <w:color w:val="3D3D3A"/>
                <w:sz w:val="18"/>
                <w:szCs w:val="18"/>
              </w:rPr>
              <w:t>44</w:t>
            </w:r>
          </w:p>
        </w:tc>
        <w:tc>
          <w:tcPr>
            <w:tcW w:w="0" w:type="auto"/>
            <w:tcMar>
              <w:top w:w="80" w:type="dxa"/>
              <w:left w:w="120" w:type="dxa"/>
              <w:bottom w:w="80" w:type="dxa"/>
              <w:right w:w="120" w:type="dxa"/>
            </w:tcMar>
          </w:tcPr>
          <w:p w:rsidR="00A373A0" w:rsidRDefault="00000000">
            <w:r>
              <w:rPr>
                <w:b/>
                <w:bCs/>
                <w:color w:val="D85A30"/>
                <w:sz w:val="18"/>
                <w:szCs w:val="18"/>
              </w:rPr>
              <w:t>CRITICAL</w:t>
            </w:r>
          </w:p>
        </w:tc>
      </w:tr>
      <w:tr w:rsidR="00A373A0">
        <w:tblPrEx>
          <w:tblCellMar>
            <w:top w:w="0" w:type="dxa"/>
            <w:bottom w:w="0" w:type="dxa"/>
          </w:tblCellMar>
        </w:tblPrEx>
        <w:tc>
          <w:tcPr>
            <w:tcW w:w="0" w:type="auto"/>
            <w:tcMar>
              <w:top w:w="80" w:type="dxa"/>
              <w:left w:w="120" w:type="dxa"/>
              <w:bottom w:w="80" w:type="dxa"/>
              <w:right w:w="120" w:type="dxa"/>
            </w:tcMar>
          </w:tcPr>
          <w:p w:rsidR="00A373A0" w:rsidRDefault="00000000">
            <w:proofErr w:type="spellStart"/>
            <w:r>
              <w:rPr>
                <w:b/>
                <w:bCs/>
                <w:color w:val="3D3D3A"/>
                <w:sz w:val="18"/>
                <w:szCs w:val="18"/>
              </w:rPr>
              <w:t>Sahibganj</w:t>
            </w:r>
            <w:proofErr w:type="spellEnd"/>
          </w:p>
        </w:tc>
        <w:tc>
          <w:tcPr>
            <w:tcW w:w="0" w:type="auto"/>
            <w:tcMar>
              <w:top w:w="80" w:type="dxa"/>
              <w:left w:w="120" w:type="dxa"/>
              <w:bottom w:w="80" w:type="dxa"/>
              <w:right w:w="120" w:type="dxa"/>
            </w:tcMar>
          </w:tcPr>
          <w:p w:rsidR="00A373A0" w:rsidRDefault="00000000">
            <w:r>
              <w:rPr>
                <w:color w:val="3D3D3A"/>
                <w:sz w:val="18"/>
                <w:szCs w:val="18"/>
              </w:rPr>
              <w:t>34.10%</w:t>
            </w:r>
          </w:p>
        </w:tc>
        <w:tc>
          <w:tcPr>
            <w:tcW w:w="0" w:type="auto"/>
            <w:tcMar>
              <w:top w:w="80" w:type="dxa"/>
              <w:left w:w="120" w:type="dxa"/>
              <w:bottom w:w="80" w:type="dxa"/>
              <w:right w:w="120" w:type="dxa"/>
            </w:tcMar>
          </w:tcPr>
          <w:p w:rsidR="00A373A0" w:rsidRDefault="00000000">
            <w:r>
              <w:rPr>
                <w:color w:val="3D3D3A"/>
                <w:sz w:val="18"/>
                <w:szCs w:val="18"/>
              </w:rPr>
              <w:t>6.0%</w:t>
            </w:r>
          </w:p>
        </w:tc>
        <w:tc>
          <w:tcPr>
            <w:tcW w:w="0" w:type="auto"/>
            <w:tcMar>
              <w:top w:w="80" w:type="dxa"/>
              <w:left w:w="120" w:type="dxa"/>
              <w:bottom w:w="80" w:type="dxa"/>
              <w:right w:w="120" w:type="dxa"/>
            </w:tcMar>
          </w:tcPr>
          <w:p w:rsidR="00A373A0" w:rsidRDefault="00000000">
            <w:r>
              <w:rPr>
                <w:color w:val="3D3D3A"/>
                <w:sz w:val="18"/>
                <w:szCs w:val="18"/>
              </w:rPr>
              <w:t>54</w:t>
            </w:r>
          </w:p>
        </w:tc>
        <w:tc>
          <w:tcPr>
            <w:tcW w:w="0" w:type="auto"/>
            <w:tcMar>
              <w:top w:w="80" w:type="dxa"/>
              <w:left w:w="120" w:type="dxa"/>
              <w:bottom w:w="80" w:type="dxa"/>
              <w:right w:w="120" w:type="dxa"/>
            </w:tcMar>
          </w:tcPr>
          <w:p w:rsidR="00A373A0" w:rsidRDefault="00000000">
            <w:r>
              <w:rPr>
                <w:b/>
                <w:bCs/>
                <w:color w:val="D85A30"/>
                <w:sz w:val="18"/>
                <w:szCs w:val="18"/>
              </w:rPr>
              <w:t>CRITICAL</w:t>
            </w:r>
          </w:p>
        </w:tc>
      </w:tr>
      <w:tr w:rsidR="00A373A0">
        <w:tblPrEx>
          <w:tblCellMar>
            <w:top w:w="0" w:type="dxa"/>
            <w:bottom w:w="0" w:type="dxa"/>
          </w:tblCellMar>
        </w:tblPrEx>
        <w:tc>
          <w:tcPr>
            <w:tcW w:w="0" w:type="auto"/>
            <w:tcMar>
              <w:top w:w="80" w:type="dxa"/>
              <w:left w:w="120" w:type="dxa"/>
              <w:bottom w:w="80" w:type="dxa"/>
              <w:right w:w="120" w:type="dxa"/>
            </w:tcMar>
          </w:tcPr>
          <w:p w:rsidR="00A373A0" w:rsidRDefault="00000000">
            <w:r>
              <w:rPr>
                <w:b/>
                <w:bCs/>
                <w:color w:val="3D3D3A"/>
                <w:sz w:val="18"/>
                <w:szCs w:val="18"/>
              </w:rPr>
              <w:lastRenderedPageBreak/>
              <w:t>Dumka</w:t>
            </w:r>
          </w:p>
        </w:tc>
        <w:tc>
          <w:tcPr>
            <w:tcW w:w="0" w:type="auto"/>
            <w:tcMar>
              <w:top w:w="80" w:type="dxa"/>
              <w:left w:w="120" w:type="dxa"/>
              <w:bottom w:w="80" w:type="dxa"/>
              <w:right w:w="120" w:type="dxa"/>
            </w:tcMar>
          </w:tcPr>
          <w:p w:rsidR="00A373A0" w:rsidRDefault="00000000">
            <w:r>
              <w:rPr>
                <w:color w:val="3D3D3A"/>
                <w:sz w:val="18"/>
                <w:szCs w:val="18"/>
              </w:rPr>
              <w:t>28.60%</w:t>
            </w:r>
          </w:p>
        </w:tc>
        <w:tc>
          <w:tcPr>
            <w:tcW w:w="0" w:type="auto"/>
            <w:tcMar>
              <w:top w:w="80" w:type="dxa"/>
              <w:left w:w="120" w:type="dxa"/>
              <w:bottom w:w="80" w:type="dxa"/>
              <w:right w:w="120" w:type="dxa"/>
            </w:tcMar>
          </w:tcPr>
          <w:p w:rsidR="00A373A0" w:rsidRDefault="00000000">
            <w:r>
              <w:rPr>
                <w:color w:val="3D3D3A"/>
                <w:sz w:val="18"/>
                <w:szCs w:val="18"/>
              </w:rPr>
              <w:t>7.2%</w:t>
            </w:r>
          </w:p>
        </w:tc>
        <w:tc>
          <w:tcPr>
            <w:tcW w:w="0" w:type="auto"/>
            <w:tcMar>
              <w:top w:w="80" w:type="dxa"/>
              <w:left w:w="120" w:type="dxa"/>
              <w:bottom w:w="80" w:type="dxa"/>
              <w:right w:w="120" w:type="dxa"/>
            </w:tcMar>
          </w:tcPr>
          <w:p w:rsidR="00A373A0" w:rsidRDefault="00000000">
            <w:r>
              <w:rPr>
                <w:color w:val="3D3D3A"/>
                <w:sz w:val="18"/>
                <w:szCs w:val="18"/>
              </w:rPr>
              <w:t>41</w:t>
            </w:r>
          </w:p>
        </w:tc>
        <w:tc>
          <w:tcPr>
            <w:tcW w:w="0" w:type="auto"/>
            <w:tcMar>
              <w:top w:w="80" w:type="dxa"/>
              <w:left w:w="120" w:type="dxa"/>
              <w:bottom w:w="80" w:type="dxa"/>
              <w:right w:w="120" w:type="dxa"/>
            </w:tcMar>
          </w:tcPr>
          <w:p w:rsidR="00A373A0" w:rsidRDefault="00000000">
            <w:r>
              <w:rPr>
                <w:b/>
                <w:bCs/>
                <w:color w:val="854F0B"/>
                <w:sz w:val="18"/>
                <w:szCs w:val="18"/>
              </w:rPr>
              <w:t>HIGH</w:t>
            </w:r>
          </w:p>
        </w:tc>
      </w:tr>
      <w:tr w:rsidR="00A373A0">
        <w:tblPrEx>
          <w:tblCellMar>
            <w:top w:w="0" w:type="dxa"/>
            <w:bottom w:w="0" w:type="dxa"/>
          </w:tblCellMar>
        </w:tblPrEx>
        <w:tc>
          <w:tcPr>
            <w:tcW w:w="0" w:type="auto"/>
            <w:tcMar>
              <w:top w:w="80" w:type="dxa"/>
              <w:left w:w="120" w:type="dxa"/>
              <w:bottom w:w="80" w:type="dxa"/>
              <w:right w:w="120" w:type="dxa"/>
            </w:tcMar>
          </w:tcPr>
          <w:p w:rsidR="00A373A0" w:rsidRDefault="00000000">
            <w:proofErr w:type="spellStart"/>
            <w:r>
              <w:rPr>
                <w:b/>
                <w:bCs/>
                <w:color w:val="3D3D3A"/>
                <w:sz w:val="18"/>
                <w:szCs w:val="18"/>
              </w:rPr>
              <w:t>Godda</w:t>
            </w:r>
            <w:proofErr w:type="spellEnd"/>
          </w:p>
        </w:tc>
        <w:tc>
          <w:tcPr>
            <w:tcW w:w="0" w:type="auto"/>
            <w:tcMar>
              <w:top w:w="80" w:type="dxa"/>
              <w:left w:w="120" w:type="dxa"/>
              <w:bottom w:w="80" w:type="dxa"/>
              <w:right w:w="120" w:type="dxa"/>
            </w:tcMar>
          </w:tcPr>
          <w:p w:rsidR="00A373A0" w:rsidRDefault="00000000">
            <w:r>
              <w:rPr>
                <w:color w:val="3D3D3A"/>
                <w:sz w:val="18"/>
                <w:szCs w:val="18"/>
              </w:rPr>
              <w:t>27.30%</w:t>
            </w:r>
          </w:p>
        </w:tc>
        <w:tc>
          <w:tcPr>
            <w:tcW w:w="0" w:type="auto"/>
            <w:tcMar>
              <w:top w:w="80" w:type="dxa"/>
              <w:left w:w="120" w:type="dxa"/>
              <w:bottom w:w="80" w:type="dxa"/>
              <w:right w:w="120" w:type="dxa"/>
            </w:tcMar>
          </w:tcPr>
          <w:p w:rsidR="00A373A0" w:rsidRDefault="00000000">
            <w:r>
              <w:rPr>
                <w:color w:val="3D3D3A"/>
                <w:sz w:val="18"/>
                <w:szCs w:val="18"/>
              </w:rPr>
              <w:t>4.3%</w:t>
            </w:r>
          </w:p>
        </w:tc>
        <w:tc>
          <w:tcPr>
            <w:tcW w:w="0" w:type="auto"/>
            <w:tcMar>
              <w:top w:w="80" w:type="dxa"/>
              <w:left w:w="120" w:type="dxa"/>
              <w:bottom w:w="80" w:type="dxa"/>
              <w:right w:w="120" w:type="dxa"/>
            </w:tcMar>
          </w:tcPr>
          <w:p w:rsidR="00A373A0" w:rsidRDefault="00000000">
            <w:r>
              <w:rPr>
                <w:color w:val="3D3D3A"/>
                <w:sz w:val="18"/>
                <w:szCs w:val="18"/>
              </w:rPr>
              <w:t>47</w:t>
            </w:r>
          </w:p>
        </w:tc>
        <w:tc>
          <w:tcPr>
            <w:tcW w:w="0" w:type="auto"/>
            <w:tcMar>
              <w:top w:w="80" w:type="dxa"/>
              <w:left w:w="120" w:type="dxa"/>
              <w:bottom w:w="80" w:type="dxa"/>
              <w:right w:w="120" w:type="dxa"/>
            </w:tcMar>
          </w:tcPr>
          <w:p w:rsidR="00A373A0" w:rsidRDefault="00000000">
            <w:r>
              <w:rPr>
                <w:b/>
                <w:bCs/>
                <w:color w:val="854F0B"/>
                <w:sz w:val="18"/>
                <w:szCs w:val="18"/>
              </w:rPr>
              <w:t>HIGH</w:t>
            </w:r>
          </w:p>
        </w:tc>
      </w:tr>
      <w:tr w:rsidR="00A373A0">
        <w:tblPrEx>
          <w:tblCellMar>
            <w:top w:w="0" w:type="dxa"/>
            <w:bottom w:w="0" w:type="dxa"/>
          </w:tblCellMar>
        </w:tblPrEx>
        <w:tc>
          <w:tcPr>
            <w:tcW w:w="0" w:type="auto"/>
            <w:tcMar>
              <w:top w:w="80" w:type="dxa"/>
              <w:left w:w="120" w:type="dxa"/>
              <w:bottom w:w="80" w:type="dxa"/>
              <w:right w:w="120" w:type="dxa"/>
            </w:tcMar>
          </w:tcPr>
          <w:p w:rsidR="00A373A0" w:rsidRDefault="00000000">
            <w:proofErr w:type="spellStart"/>
            <w:r>
              <w:rPr>
                <w:b/>
                <w:bCs/>
                <w:color w:val="3D3D3A"/>
                <w:sz w:val="18"/>
                <w:szCs w:val="18"/>
              </w:rPr>
              <w:t>Palamu</w:t>
            </w:r>
            <w:proofErr w:type="spellEnd"/>
          </w:p>
        </w:tc>
        <w:tc>
          <w:tcPr>
            <w:tcW w:w="0" w:type="auto"/>
            <w:tcMar>
              <w:top w:w="80" w:type="dxa"/>
              <w:left w:w="120" w:type="dxa"/>
              <w:bottom w:w="80" w:type="dxa"/>
              <w:right w:w="120" w:type="dxa"/>
            </w:tcMar>
          </w:tcPr>
          <w:p w:rsidR="00A373A0" w:rsidRDefault="00000000">
            <w:r>
              <w:rPr>
                <w:color w:val="3D3D3A"/>
                <w:sz w:val="18"/>
                <w:szCs w:val="18"/>
              </w:rPr>
              <w:t>25.60%</w:t>
            </w:r>
          </w:p>
        </w:tc>
        <w:tc>
          <w:tcPr>
            <w:tcW w:w="0" w:type="auto"/>
            <w:tcMar>
              <w:top w:w="80" w:type="dxa"/>
              <w:left w:w="120" w:type="dxa"/>
              <w:bottom w:w="80" w:type="dxa"/>
              <w:right w:w="120" w:type="dxa"/>
            </w:tcMar>
          </w:tcPr>
          <w:p w:rsidR="00A373A0" w:rsidRDefault="00000000">
            <w:r>
              <w:rPr>
                <w:color w:val="3D3D3A"/>
                <w:sz w:val="18"/>
                <w:szCs w:val="18"/>
              </w:rPr>
              <w:t>4.7%</w:t>
            </w:r>
          </w:p>
        </w:tc>
        <w:tc>
          <w:tcPr>
            <w:tcW w:w="0" w:type="auto"/>
            <w:tcMar>
              <w:top w:w="80" w:type="dxa"/>
              <w:left w:w="120" w:type="dxa"/>
              <w:bottom w:w="80" w:type="dxa"/>
              <w:right w:w="120" w:type="dxa"/>
            </w:tcMar>
          </w:tcPr>
          <w:p w:rsidR="00A373A0" w:rsidRDefault="00000000">
            <w:r>
              <w:rPr>
                <w:color w:val="3D3D3A"/>
                <w:sz w:val="18"/>
                <w:szCs w:val="18"/>
              </w:rPr>
              <w:t>67</w:t>
            </w:r>
          </w:p>
        </w:tc>
        <w:tc>
          <w:tcPr>
            <w:tcW w:w="0" w:type="auto"/>
            <w:tcMar>
              <w:top w:w="80" w:type="dxa"/>
              <w:left w:w="120" w:type="dxa"/>
              <w:bottom w:w="80" w:type="dxa"/>
              <w:right w:w="120" w:type="dxa"/>
            </w:tcMar>
          </w:tcPr>
          <w:p w:rsidR="00A373A0" w:rsidRDefault="00000000">
            <w:r>
              <w:rPr>
                <w:b/>
                <w:bCs/>
                <w:color w:val="854F0B"/>
                <w:sz w:val="18"/>
                <w:szCs w:val="18"/>
              </w:rPr>
              <w:t>HIGH</w:t>
            </w:r>
          </w:p>
        </w:tc>
      </w:tr>
    </w:tbl>
    <w:p w:rsidR="00A373A0" w:rsidRDefault="00A373A0">
      <w:pPr>
        <w:spacing w:before="80" w:after="80"/>
      </w:pPr>
    </w:p>
    <w:p w:rsidR="00A373A0" w:rsidRDefault="00000000">
      <w:pPr>
        <w:spacing w:before="80" w:after="80"/>
        <w:jc w:val="both"/>
      </w:pPr>
      <w:r>
        <w:rPr>
          <w:color w:val="3D3D3A"/>
        </w:rPr>
        <w:t xml:space="preserve">These five districts — </w:t>
      </w:r>
      <w:proofErr w:type="spellStart"/>
      <w:r>
        <w:rPr>
          <w:color w:val="3D3D3A"/>
        </w:rPr>
        <w:t>Pakaur</w:t>
      </w:r>
      <w:proofErr w:type="spellEnd"/>
      <w:r>
        <w:rPr>
          <w:color w:val="3D3D3A"/>
        </w:rPr>
        <w:t xml:space="preserve">, </w:t>
      </w:r>
      <w:proofErr w:type="spellStart"/>
      <w:r>
        <w:rPr>
          <w:color w:val="3D3D3A"/>
        </w:rPr>
        <w:t>Sahibganj</w:t>
      </w:r>
      <w:proofErr w:type="spellEnd"/>
      <w:r>
        <w:rPr>
          <w:color w:val="3D3D3A"/>
        </w:rPr>
        <w:t xml:space="preserve">, Dumka, </w:t>
      </w:r>
      <w:proofErr w:type="spellStart"/>
      <w:r>
        <w:rPr>
          <w:color w:val="3D3D3A"/>
        </w:rPr>
        <w:t>Godda</w:t>
      </w:r>
      <w:proofErr w:type="spellEnd"/>
      <w:r>
        <w:rPr>
          <w:color w:val="3D3D3A"/>
        </w:rPr>
        <w:t xml:space="preserve">, and </w:t>
      </w:r>
      <w:proofErr w:type="spellStart"/>
      <w:r>
        <w:rPr>
          <w:color w:val="3D3D3A"/>
        </w:rPr>
        <w:t>Palamu</w:t>
      </w:r>
      <w:proofErr w:type="spellEnd"/>
      <w:r>
        <w:rPr>
          <w:color w:val="3D3D3A"/>
        </w:rPr>
        <w:t xml:space="preserve"> — are concentrated in northern and eastern Jharkhand. They share three characteristics: high PTR, low infrastructure scores, and high poverty prevalence.</w:t>
      </w:r>
    </w:p>
    <w:p w:rsidR="00A373A0" w:rsidRDefault="00A373A0">
      <w:pPr>
        <w:pBdr>
          <w:bottom w:val="single" w:sz="6" w:space="0" w:color="F1EFE8"/>
        </w:pBdr>
        <w:spacing w:before="160" w:after="160"/>
      </w:pPr>
    </w:p>
    <w:p w:rsidR="00A373A0" w:rsidRDefault="00000000">
      <w:pPr>
        <w:spacing w:before="320" w:after="120"/>
      </w:pPr>
      <w:r>
        <w:rPr>
          <w:b/>
          <w:bCs/>
          <w:color w:val="1A1A1A"/>
          <w:sz w:val="28"/>
          <w:szCs w:val="28"/>
        </w:rPr>
        <w:t>What the Data Reveals: Root Cause Analysis</w:t>
      </w:r>
    </w:p>
    <w:p w:rsidR="00A373A0" w:rsidRDefault="00000000">
      <w:pPr>
        <w:spacing w:before="80" w:after="80"/>
        <w:jc w:val="both"/>
      </w:pPr>
      <w:r>
        <w:rPr>
          <w:color w:val="3D3D3A"/>
        </w:rPr>
        <w:t>Statistical correlation analysis across all 24 districts identifies the structural factors most strongly associated with dropout:</w:t>
      </w:r>
    </w:p>
    <w:p w:rsidR="00A373A0" w:rsidRDefault="00A373A0">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9"/>
        <w:gridCol w:w="3118"/>
        <w:gridCol w:w="3873"/>
      </w:tblGrid>
      <w:tr w:rsidR="00A373A0">
        <w:tblPrEx>
          <w:tblCellMar>
            <w:top w:w="0" w:type="dxa"/>
            <w:bottom w:w="0" w:type="dxa"/>
          </w:tblCellMar>
        </w:tblPrEx>
        <w:trPr>
          <w:tblHeader/>
        </w:trPr>
        <w:tc>
          <w:tcPr>
            <w:tcW w:w="0" w:type="auto"/>
            <w:shd w:val="solid" w:color="2C2C2A" w:fill="auto"/>
            <w:tcMar>
              <w:top w:w="80" w:type="dxa"/>
              <w:left w:w="120" w:type="dxa"/>
              <w:bottom w:w="80" w:type="dxa"/>
              <w:right w:w="120" w:type="dxa"/>
            </w:tcMar>
          </w:tcPr>
          <w:p w:rsidR="00A373A0" w:rsidRDefault="00000000">
            <w:r>
              <w:rPr>
                <w:b/>
                <w:bCs/>
                <w:color w:val="FFFFFF"/>
                <w:sz w:val="18"/>
                <w:szCs w:val="18"/>
              </w:rPr>
              <w:t>Factor</w:t>
            </w:r>
          </w:p>
        </w:tc>
        <w:tc>
          <w:tcPr>
            <w:tcW w:w="0" w:type="auto"/>
            <w:shd w:val="solid" w:color="2C2C2A" w:fill="auto"/>
            <w:tcMar>
              <w:top w:w="80" w:type="dxa"/>
              <w:left w:w="120" w:type="dxa"/>
              <w:bottom w:w="80" w:type="dxa"/>
              <w:right w:w="120" w:type="dxa"/>
            </w:tcMar>
          </w:tcPr>
          <w:p w:rsidR="00A373A0" w:rsidRDefault="00000000">
            <w:r>
              <w:rPr>
                <w:b/>
                <w:bCs/>
                <w:color w:val="FFFFFF"/>
                <w:sz w:val="18"/>
                <w:szCs w:val="18"/>
              </w:rPr>
              <w:t>Correlation with Dropout</w:t>
            </w:r>
          </w:p>
        </w:tc>
        <w:tc>
          <w:tcPr>
            <w:tcW w:w="0" w:type="auto"/>
            <w:shd w:val="solid" w:color="2C2C2A" w:fill="auto"/>
            <w:tcMar>
              <w:top w:w="80" w:type="dxa"/>
              <w:left w:w="120" w:type="dxa"/>
              <w:bottom w:w="80" w:type="dxa"/>
              <w:right w:w="120" w:type="dxa"/>
            </w:tcMar>
          </w:tcPr>
          <w:p w:rsidR="00A373A0" w:rsidRDefault="00000000">
            <w:r>
              <w:rPr>
                <w:b/>
                <w:bCs/>
                <w:color w:val="FFFFFF"/>
                <w:sz w:val="18"/>
                <w:szCs w:val="18"/>
              </w:rPr>
              <w:t>Direction</w:t>
            </w:r>
          </w:p>
        </w:tc>
      </w:tr>
      <w:tr w:rsidR="00A373A0">
        <w:tblPrEx>
          <w:tblCellMar>
            <w:top w:w="0" w:type="dxa"/>
            <w:bottom w:w="0" w:type="dxa"/>
          </w:tblCellMar>
        </w:tblPrEx>
        <w:tc>
          <w:tcPr>
            <w:tcW w:w="0" w:type="auto"/>
            <w:tcMar>
              <w:top w:w="80" w:type="dxa"/>
              <w:left w:w="120" w:type="dxa"/>
              <w:bottom w:w="80" w:type="dxa"/>
              <w:right w:w="120" w:type="dxa"/>
            </w:tcMar>
          </w:tcPr>
          <w:p w:rsidR="00A373A0" w:rsidRDefault="00000000">
            <w:r>
              <w:rPr>
                <w:color w:val="3D3D3A"/>
                <w:sz w:val="18"/>
                <w:szCs w:val="18"/>
              </w:rPr>
              <w:t>PTR at Middle level</w:t>
            </w:r>
          </w:p>
        </w:tc>
        <w:tc>
          <w:tcPr>
            <w:tcW w:w="0" w:type="auto"/>
            <w:tcMar>
              <w:top w:w="80" w:type="dxa"/>
              <w:left w:w="120" w:type="dxa"/>
              <w:bottom w:w="80" w:type="dxa"/>
              <w:right w:w="120" w:type="dxa"/>
            </w:tcMar>
          </w:tcPr>
          <w:p w:rsidR="00A373A0" w:rsidRDefault="00000000">
            <w:r>
              <w:rPr>
                <w:b/>
                <w:bCs/>
                <w:color w:val="D85A30"/>
                <w:sz w:val="18"/>
                <w:szCs w:val="18"/>
              </w:rPr>
              <w:t>r = +0.75</w:t>
            </w:r>
          </w:p>
        </w:tc>
        <w:tc>
          <w:tcPr>
            <w:tcW w:w="0" w:type="auto"/>
            <w:tcMar>
              <w:top w:w="80" w:type="dxa"/>
              <w:left w:w="120" w:type="dxa"/>
              <w:bottom w:w="80" w:type="dxa"/>
              <w:right w:w="120" w:type="dxa"/>
            </w:tcMar>
          </w:tcPr>
          <w:p w:rsidR="00A373A0" w:rsidRDefault="00000000">
            <w:r>
              <w:rPr>
                <w:color w:val="3D3D3A"/>
                <w:sz w:val="18"/>
                <w:szCs w:val="18"/>
              </w:rPr>
              <w:t>Higher PTR → More dropout</w:t>
            </w:r>
          </w:p>
        </w:tc>
      </w:tr>
      <w:tr w:rsidR="00A373A0">
        <w:tblPrEx>
          <w:tblCellMar>
            <w:top w:w="0" w:type="dxa"/>
            <w:bottom w:w="0" w:type="dxa"/>
          </w:tblCellMar>
        </w:tblPrEx>
        <w:tc>
          <w:tcPr>
            <w:tcW w:w="0" w:type="auto"/>
            <w:tcMar>
              <w:top w:w="80" w:type="dxa"/>
              <w:left w:w="120" w:type="dxa"/>
              <w:bottom w:w="80" w:type="dxa"/>
              <w:right w:w="120" w:type="dxa"/>
            </w:tcMar>
          </w:tcPr>
          <w:p w:rsidR="00A373A0" w:rsidRDefault="00000000">
            <w:r>
              <w:rPr>
                <w:color w:val="3D3D3A"/>
                <w:sz w:val="18"/>
                <w:szCs w:val="18"/>
              </w:rPr>
              <w:t>PGI Score (school quality)</w:t>
            </w:r>
          </w:p>
        </w:tc>
        <w:tc>
          <w:tcPr>
            <w:tcW w:w="0" w:type="auto"/>
            <w:tcMar>
              <w:top w:w="80" w:type="dxa"/>
              <w:left w:w="120" w:type="dxa"/>
              <w:bottom w:w="80" w:type="dxa"/>
              <w:right w:w="120" w:type="dxa"/>
            </w:tcMar>
          </w:tcPr>
          <w:p w:rsidR="00A373A0" w:rsidRDefault="00000000">
            <w:r>
              <w:rPr>
                <w:b/>
                <w:bCs/>
                <w:color w:val="D85A30"/>
                <w:sz w:val="18"/>
                <w:szCs w:val="18"/>
              </w:rPr>
              <w:t>r = −0.72</w:t>
            </w:r>
          </w:p>
        </w:tc>
        <w:tc>
          <w:tcPr>
            <w:tcW w:w="0" w:type="auto"/>
            <w:tcMar>
              <w:top w:w="80" w:type="dxa"/>
              <w:left w:w="120" w:type="dxa"/>
              <w:bottom w:w="80" w:type="dxa"/>
              <w:right w:w="120" w:type="dxa"/>
            </w:tcMar>
          </w:tcPr>
          <w:p w:rsidR="00A373A0" w:rsidRDefault="00000000">
            <w:r>
              <w:rPr>
                <w:color w:val="3D3D3A"/>
                <w:sz w:val="18"/>
                <w:szCs w:val="18"/>
              </w:rPr>
              <w:t>Better schools → Less dropout</w:t>
            </w:r>
          </w:p>
        </w:tc>
      </w:tr>
      <w:tr w:rsidR="00A373A0">
        <w:tblPrEx>
          <w:tblCellMar>
            <w:top w:w="0" w:type="dxa"/>
            <w:bottom w:w="0" w:type="dxa"/>
          </w:tblCellMar>
        </w:tblPrEx>
        <w:tc>
          <w:tcPr>
            <w:tcW w:w="0" w:type="auto"/>
            <w:tcMar>
              <w:top w:w="80" w:type="dxa"/>
              <w:left w:w="120" w:type="dxa"/>
              <w:bottom w:w="80" w:type="dxa"/>
              <w:right w:w="120" w:type="dxa"/>
            </w:tcMar>
          </w:tcPr>
          <w:p w:rsidR="00A373A0" w:rsidRDefault="00000000">
            <w:r>
              <w:rPr>
                <w:color w:val="3D3D3A"/>
                <w:sz w:val="18"/>
                <w:szCs w:val="18"/>
              </w:rPr>
              <w:t>Smart classrooms (%)</w:t>
            </w:r>
          </w:p>
        </w:tc>
        <w:tc>
          <w:tcPr>
            <w:tcW w:w="0" w:type="auto"/>
            <w:tcMar>
              <w:top w:w="80" w:type="dxa"/>
              <w:left w:w="120" w:type="dxa"/>
              <w:bottom w:w="80" w:type="dxa"/>
              <w:right w:w="120" w:type="dxa"/>
            </w:tcMar>
          </w:tcPr>
          <w:p w:rsidR="00A373A0" w:rsidRDefault="00000000">
            <w:r>
              <w:rPr>
                <w:b/>
                <w:bCs/>
                <w:color w:val="D85A30"/>
                <w:sz w:val="18"/>
                <w:szCs w:val="18"/>
              </w:rPr>
              <w:t>r = −0.60</w:t>
            </w:r>
          </w:p>
        </w:tc>
        <w:tc>
          <w:tcPr>
            <w:tcW w:w="0" w:type="auto"/>
            <w:tcMar>
              <w:top w:w="80" w:type="dxa"/>
              <w:left w:w="120" w:type="dxa"/>
              <w:bottom w:w="80" w:type="dxa"/>
              <w:right w:w="120" w:type="dxa"/>
            </w:tcMar>
          </w:tcPr>
          <w:p w:rsidR="00A373A0" w:rsidRDefault="00000000">
            <w:r>
              <w:rPr>
                <w:color w:val="3D3D3A"/>
                <w:sz w:val="18"/>
                <w:szCs w:val="18"/>
              </w:rPr>
              <w:t>More classrooms → Less dropout</w:t>
            </w:r>
          </w:p>
        </w:tc>
      </w:tr>
      <w:tr w:rsidR="00A373A0">
        <w:tblPrEx>
          <w:tblCellMar>
            <w:top w:w="0" w:type="dxa"/>
            <w:bottom w:w="0" w:type="dxa"/>
          </w:tblCellMar>
        </w:tblPrEx>
        <w:tc>
          <w:tcPr>
            <w:tcW w:w="0" w:type="auto"/>
            <w:tcMar>
              <w:top w:w="80" w:type="dxa"/>
              <w:left w:w="120" w:type="dxa"/>
              <w:bottom w:w="80" w:type="dxa"/>
              <w:right w:w="120" w:type="dxa"/>
            </w:tcMar>
          </w:tcPr>
          <w:p w:rsidR="00A373A0" w:rsidRDefault="00000000">
            <w:r>
              <w:rPr>
                <w:color w:val="3D3D3A"/>
                <w:sz w:val="18"/>
                <w:szCs w:val="18"/>
              </w:rPr>
              <w:t>Internet connectivity (%)</w:t>
            </w:r>
          </w:p>
        </w:tc>
        <w:tc>
          <w:tcPr>
            <w:tcW w:w="0" w:type="auto"/>
            <w:tcMar>
              <w:top w:w="80" w:type="dxa"/>
              <w:left w:w="120" w:type="dxa"/>
              <w:bottom w:w="80" w:type="dxa"/>
              <w:right w:w="120" w:type="dxa"/>
            </w:tcMar>
          </w:tcPr>
          <w:p w:rsidR="00A373A0" w:rsidRDefault="00000000">
            <w:r>
              <w:rPr>
                <w:b/>
                <w:bCs/>
                <w:color w:val="D85A30"/>
                <w:sz w:val="18"/>
                <w:szCs w:val="18"/>
              </w:rPr>
              <w:t>r = −0.21</w:t>
            </w:r>
          </w:p>
        </w:tc>
        <w:tc>
          <w:tcPr>
            <w:tcW w:w="0" w:type="auto"/>
            <w:tcMar>
              <w:top w:w="80" w:type="dxa"/>
              <w:left w:w="120" w:type="dxa"/>
              <w:bottom w:w="80" w:type="dxa"/>
              <w:right w:w="120" w:type="dxa"/>
            </w:tcMar>
          </w:tcPr>
          <w:p w:rsidR="00A373A0" w:rsidRDefault="00000000">
            <w:r>
              <w:rPr>
                <w:color w:val="3D3D3A"/>
                <w:sz w:val="18"/>
                <w:szCs w:val="18"/>
              </w:rPr>
              <w:t>Slight protective effect</w:t>
            </w:r>
          </w:p>
        </w:tc>
      </w:tr>
      <w:tr w:rsidR="00A373A0">
        <w:tblPrEx>
          <w:tblCellMar>
            <w:top w:w="0" w:type="dxa"/>
            <w:bottom w:w="0" w:type="dxa"/>
          </w:tblCellMar>
        </w:tblPrEx>
        <w:tc>
          <w:tcPr>
            <w:tcW w:w="0" w:type="auto"/>
            <w:tcMar>
              <w:top w:w="80" w:type="dxa"/>
              <w:left w:w="120" w:type="dxa"/>
              <w:bottom w:w="80" w:type="dxa"/>
              <w:right w:w="120" w:type="dxa"/>
            </w:tcMar>
          </w:tcPr>
          <w:p w:rsidR="00A373A0" w:rsidRDefault="00000000">
            <w:r>
              <w:rPr>
                <w:color w:val="3D3D3A"/>
                <w:sz w:val="18"/>
                <w:szCs w:val="18"/>
              </w:rPr>
              <w:t>ST student proportion (%)</w:t>
            </w:r>
          </w:p>
        </w:tc>
        <w:tc>
          <w:tcPr>
            <w:tcW w:w="0" w:type="auto"/>
            <w:tcMar>
              <w:top w:w="80" w:type="dxa"/>
              <w:left w:w="120" w:type="dxa"/>
              <w:bottom w:w="80" w:type="dxa"/>
              <w:right w:w="120" w:type="dxa"/>
            </w:tcMar>
          </w:tcPr>
          <w:p w:rsidR="00A373A0" w:rsidRDefault="00000000">
            <w:r>
              <w:rPr>
                <w:b/>
                <w:bCs/>
                <w:color w:val="D85A30"/>
                <w:sz w:val="18"/>
                <w:szCs w:val="18"/>
              </w:rPr>
              <w:t>r = +0.03</w:t>
            </w:r>
          </w:p>
        </w:tc>
        <w:tc>
          <w:tcPr>
            <w:tcW w:w="0" w:type="auto"/>
            <w:tcMar>
              <w:top w:w="80" w:type="dxa"/>
              <w:left w:w="120" w:type="dxa"/>
              <w:bottom w:w="80" w:type="dxa"/>
              <w:right w:w="120" w:type="dxa"/>
            </w:tcMar>
          </w:tcPr>
          <w:p w:rsidR="00A373A0" w:rsidRDefault="00000000">
            <w:r>
              <w:rPr>
                <w:color w:val="3D3D3A"/>
                <w:sz w:val="18"/>
                <w:szCs w:val="18"/>
              </w:rPr>
              <w:t>No significant relationship</w:t>
            </w:r>
          </w:p>
        </w:tc>
      </w:tr>
    </w:tbl>
    <w:p w:rsidR="00A373A0" w:rsidRDefault="00A373A0">
      <w:pPr>
        <w:spacing w:before="160" w:after="80"/>
      </w:pPr>
    </w:p>
    <w:p w:rsidR="00A373A0" w:rsidRDefault="00000000">
      <w:pPr>
        <w:spacing w:before="80" w:after="80"/>
        <w:jc w:val="both"/>
      </w:pPr>
      <w:r>
        <w:rPr>
          <w:color w:val="3D3D3A"/>
        </w:rPr>
        <w:t xml:space="preserve">The most significant finding is that </w:t>
      </w:r>
      <w:r w:rsidR="00DF7B58">
        <w:rPr>
          <w:color w:val="3D3D3A"/>
        </w:rPr>
        <w:t xml:space="preserve">the </w:t>
      </w:r>
      <w:r>
        <w:rPr>
          <w:color w:val="3D3D3A"/>
        </w:rPr>
        <w:t>tribal (ST) student proportion has almost no correlation with dropout (r = +0.03). Children leave school because of poor school quality and teacher shortages — not because of who they are. This has important implications for policy: interventions should target school quality universally, not only in tribal-designated areas.</w:t>
      </w:r>
    </w:p>
    <w:p w:rsidR="00A373A0" w:rsidRDefault="00A373A0">
      <w:pPr>
        <w:pBdr>
          <w:bottom w:val="single" w:sz="6" w:space="0" w:color="F1EFE8"/>
        </w:pBdr>
        <w:spacing w:before="160" w:after="160"/>
      </w:pPr>
    </w:p>
    <w:p w:rsidR="00A373A0" w:rsidRDefault="00000000">
      <w:pPr>
        <w:spacing w:before="320" w:after="120"/>
      </w:pPr>
      <w:r>
        <w:rPr>
          <w:b/>
          <w:bCs/>
          <w:color w:val="1A1A1A"/>
          <w:sz w:val="28"/>
          <w:szCs w:val="28"/>
        </w:rPr>
        <w:t>Policy Recommendations</w:t>
      </w:r>
    </w:p>
    <w:p w:rsidR="00A373A0" w:rsidRDefault="00000000">
      <w:pPr>
        <w:spacing w:before="240" w:after="100"/>
      </w:pPr>
      <w:r>
        <w:rPr>
          <w:b/>
          <w:bCs/>
          <w:color w:val="2C2C2A"/>
          <w:sz w:val="22"/>
          <w:szCs w:val="22"/>
        </w:rPr>
        <w:t>1. Priority teacher deployment in crisis districts</w:t>
      </w:r>
    </w:p>
    <w:p w:rsidR="00A373A0" w:rsidRDefault="00000000">
      <w:pPr>
        <w:spacing w:before="80" w:after="80"/>
        <w:jc w:val="both"/>
      </w:pPr>
      <w:proofErr w:type="spellStart"/>
      <w:r>
        <w:rPr>
          <w:color w:val="3D3D3A"/>
        </w:rPr>
        <w:t>Pakur</w:t>
      </w:r>
      <w:proofErr w:type="spellEnd"/>
      <w:r>
        <w:rPr>
          <w:color w:val="3D3D3A"/>
        </w:rPr>
        <w:t xml:space="preserve">, </w:t>
      </w:r>
      <w:proofErr w:type="spellStart"/>
      <w:r>
        <w:rPr>
          <w:color w:val="3D3D3A"/>
        </w:rPr>
        <w:t>Sahibganj</w:t>
      </w:r>
      <w:proofErr w:type="spellEnd"/>
      <w:r>
        <w:rPr>
          <w:color w:val="3D3D3A"/>
        </w:rPr>
        <w:t xml:space="preserve">, </w:t>
      </w:r>
      <w:proofErr w:type="spellStart"/>
      <w:r>
        <w:rPr>
          <w:color w:val="3D3D3A"/>
        </w:rPr>
        <w:t>Garhwa</w:t>
      </w:r>
      <w:proofErr w:type="spellEnd"/>
      <w:r>
        <w:rPr>
          <w:color w:val="3D3D3A"/>
        </w:rPr>
        <w:t xml:space="preserve">, </w:t>
      </w:r>
      <w:proofErr w:type="spellStart"/>
      <w:r>
        <w:rPr>
          <w:color w:val="3D3D3A"/>
        </w:rPr>
        <w:t>Giridih</w:t>
      </w:r>
      <w:proofErr w:type="spellEnd"/>
      <w:r>
        <w:rPr>
          <w:color w:val="3D3D3A"/>
        </w:rPr>
        <w:t xml:space="preserve">, and </w:t>
      </w:r>
      <w:proofErr w:type="spellStart"/>
      <w:r>
        <w:rPr>
          <w:color w:val="3D3D3A"/>
        </w:rPr>
        <w:t>Palamu</w:t>
      </w:r>
      <w:proofErr w:type="spellEnd"/>
      <w:r>
        <w:rPr>
          <w:color w:val="3D3D3A"/>
        </w:rPr>
        <w:t xml:space="preserve"> have PTR values between 44 and 69 — all far above the RTE norm of 30. Targeted teacher recruitment and deployment to these specific districts, rather than state-wide averaging, would directly address the strongest predictor of dropout.</w:t>
      </w:r>
    </w:p>
    <w:p w:rsidR="00A373A0" w:rsidRDefault="00000000">
      <w:pPr>
        <w:spacing w:before="240" w:after="100"/>
      </w:pPr>
      <w:r>
        <w:rPr>
          <w:b/>
          <w:bCs/>
          <w:color w:val="2C2C2A"/>
          <w:sz w:val="22"/>
          <w:szCs w:val="22"/>
        </w:rPr>
        <w:t>2. Smart classroom expansion as a retention tool</w:t>
      </w:r>
    </w:p>
    <w:p w:rsidR="00A373A0" w:rsidRDefault="00000000">
      <w:pPr>
        <w:spacing w:before="80" w:after="80"/>
        <w:jc w:val="both"/>
      </w:pPr>
      <w:r>
        <w:rPr>
          <w:color w:val="3D3D3A"/>
        </w:rPr>
        <w:t>The correlation between smart classroom availability and dropout retention (r = −0.60) is strong enough to justify targeted infrastructure investment. Crisis districts currently have functional smart classrooms in fewer than 10% of schools. Expanding this to 30% within three years is a measurable, achievable target.</w:t>
      </w:r>
    </w:p>
    <w:p w:rsidR="00A373A0" w:rsidRDefault="00000000">
      <w:pPr>
        <w:spacing w:before="240" w:after="100"/>
      </w:pPr>
      <w:r>
        <w:rPr>
          <w:b/>
          <w:bCs/>
          <w:color w:val="2C2C2A"/>
          <w:sz w:val="22"/>
          <w:szCs w:val="22"/>
        </w:rPr>
        <w:t>3. Reform dropout measurement methodology</w:t>
      </w:r>
    </w:p>
    <w:p w:rsidR="00A373A0" w:rsidRDefault="00000000">
      <w:pPr>
        <w:spacing w:before="80" w:after="80"/>
        <w:jc w:val="both"/>
      </w:pPr>
      <w:r>
        <w:rPr>
          <w:color w:val="3D3D3A"/>
        </w:rPr>
        <w:t xml:space="preserve">The current measurement system counts students who formally withdraw mid-year. It misses the far larger group who simply do not </w:t>
      </w:r>
      <w:r w:rsidR="00DF7B58">
        <w:rPr>
          <w:color w:val="3D3D3A"/>
        </w:rPr>
        <w:t>re-enroll</w:t>
      </w:r>
      <w:r>
        <w:rPr>
          <w:color w:val="3D3D3A"/>
        </w:rPr>
        <w:t xml:space="preserve"> after a class transition. Tracking transition rates (Class 5→6, Class 8→9) alongside annual dropout rates would give a more accurate picture of the true retention crisis and allow earlier intervention.</w:t>
      </w:r>
    </w:p>
    <w:p w:rsidR="00A373A0" w:rsidRDefault="00A373A0">
      <w:pPr>
        <w:pBdr>
          <w:bottom w:val="single" w:sz="6" w:space="0" w:color="F1EFE8"/>
        </w:pBdr>
        <w:spacing w:before="160" w:after="160"/>
      </w:pPr>
    </w:p>
    <w:p w:rsidR="00A373A0" w:rsidRDefault="00000000">
      <w:pPr>
        <w:spacing w:before="320" w:after="120"/>
      </w:pPr>
      <w:r>
        <w:rPr>
          <w:b/>
          <w:bCs/>
          <w:color w:val="1A1A1A"/>
          <w:sz w:val="28"/>
          <w:szCs w:val="28"/>
        </w:rPr>
        <w:lastRenderedPageBreak/>
        <w:t>Research Context</w:t>
      </w:r>
    </w:p>
    <w:p w:rsidR="00A373A0" w:rsidRDefault="00000000">
      <w:pPr>
        <w:spacing w:before="80" w:after="80"/>
        <w:jc w:val="both"/>
      </w:pPr>
      <w:r>
        <w:rPr>
          <w:color w:val="3D3D3A"/>
        </w:rPr>
        <w:t>This analysis was motivated by personal experience. During National Service Scheme volunteer work at a government school in Chennai (2021–23), I taught English, Science, and Computer Science to students who faced many of the barriers this data reveals — irregular attendance, large class sizes, limited resources, and uncertainty about the value of continuing education.</w:t>
      </w:r>
    </w:p>
    <w:p w:rsidR="00A373A0" w:rsidRDefault="00000000">
      <w:pPr>
        <w:spacing w:before="80" w:after="80"/>
        <w:jc w:val="both"/>
      </w:pPr>
      <w:r>
        <w:rPr>
          <w:color w:val="3D3D3A"/>
        </w:rPr>
        <w:t>As a data professional, I returned to this question not as a volunteer but as an analyst — using the same UDISE+ data that policymakers use, but examining it through the lens of transition rates rather than reported dropout statistics. The goal was to move from anecdote to evidence, and from evidence to a concrete policy recommendation for Jharkhand.</w:t>
      </w:r>
    </w:p>
    <w:p w:rsidR="00A373A0" w:rsidRDefault="00A373A0">
      <w:pPr>
        <w:pBdr>
          <w:bottom w:val="single" w:sz="6" w:space="0" w:color="F1EFE8"/>
        </w:pBdr>
        <w:spacing w:before="160" w:after="160"/>
      </w:pPr>
    </w:p>
    <w:p w:rsidR="00A373A0" w:rsidRDefault="00000000">
      <w:pPr>
        <w:spacing w:before="320" w:after="120"/>
      </w:pPr>
      <w:r>
        <w:rPr>
          <w:b/>
          <w:bCs/>
          <w:color w:val="1A1A1A"/>
          <w:sz w:val="28"/>
          <w:szCs w:val="28"/>
        </w:rPr>
        <w:t>Methodology</w:t>
      </w:r>
    </w:p>
    <w:p w:rsidR="00A373A0" w:rsidRDefault="00000000">
      <w:pPr>
        <w:pStyle w:val="ListParagraph"/>
        <w:numPr>
          <w:ilvl w:val="0"/>
          <w:numId w:val="1"/>
        </w:numPr>
        <w:spacing w:before="60" w:after="60"/>
        <w:ind w:left="360"/>
      </w:pPr>
      <w:r>
        <w:rPr>
          <w:b/>
          <w:bCs/>
          <w:color w:val="2C2C2A"/>
        </w:rPr>
        <w:t xml:space="preserve">Data extraction: </w:t>
      </w:r>
      <w:r>
        <w:rPr>
          <w:color w:val="3D3D3A"/>
        </w:rPr>
        <w:t>Data extracted from 24 individual UDISE+ 2024-25 district fact sheet PDFs using Python (</w:t>
      </w:r>
      <w:proofErr w:type="spellStart"/>
      <w:r>
        <w:rPr>
          <w:color w:val="3D3D3A"/>
        </w:rPr>
        <w:t>pdfplumber</w:t>
      </w:r>
      <w:proofErr w:type="spellEnd"/>
      <w:r>
        <w:rPr>
          <w:color w:val="3D3D3A"/>
        </w:rPr>
        <w:t xml:space="preserve"> library) and compiled into a 24-row × 37-column master dataset.</w:t>
      </w:r>
    </w:p>
    <w:p w:rsidR="00A373A0" w:rsidRDefault="00000000">
      <w:pPr>
        <w:pStyle w:val="ListParagraph"/>
        <w:numPr>
          <w:ilvl w:val="0"/>
          <w:numId w:val="1"/>
        </w:numPr>
        <w:spacing w:before="60" w:after="60"/>
        <w:ind w:left="360"/>
      </w:pPr>
      <w:r>
        <w:rPr>
          <w:b/>
          <w:bCs/>
          <w:color w:val="2C2C2A"/>
        </w:rPr>
        <w:t xml:space="preserve">Analysis: </w:t>
      </w:r>
      <w:r>
        <w:rPr>
          <w:color w:val="3D3D3A"/>
        </w:rPr>
        <w:t>Exploratory data analysis conducted in Python (Pandas, Matplotlib, Seaborn). Correlation coefficients calculated using Pearson method.</w:t>
      </w:r>
    </w:p>
    <w:p w:rsidR="00A373A0" w:rsidRDefault="00000000">
      <w:pPr>
        <w:pStyle w:val="ListParagraph"/>
        <w:numPr>
          <w:ilvl w:val="0"/>
          <w:numId w:val="1"/>
        </w:numPr>
        <w:spacing w:before="60" w:after="60"/>
        <w:ind w:left="360"/>
      </w:pPr>
      <w:proofErr w:type="spellStart"/>
      <w:r>
        <w:rPr>
          <w:b/>
          <w:bCs/>
          <w:color w:val="2C2C2A"/>
        </w:rPr>
        <w:t>Visualisation</w:t>
      </w:r>
      <w:proofErr w:type="spellEnd"/>
      <w:r>
        <w:rPr>
          <w:b/>
          <w:bCs/>
          <w:color w:val="2C2C2A"/>
        </w:rPr>
        <w:t xml:space="preserve">: </w:t>
      </w:r>
      <w:r>
        <w:rPr>
          <w:color w:val="3D3D3A"/>
        </w:rPr>
        <w:t xml:space="preserve">Interactive district-level dashboard built in Tableau Public with filter actions, reference lines, and </w:t>
      </w:r>
      <w:proofErr w:type="spellStart"/>
      <w:r>
        <w:rPr>
          <w:color w:val="3D3D3A"/>
        </w:rPr>
        <w:t>colour</w:t>
      </w:r>
      <w:proofErr w:type="spellEnd"/>
      <w:r>
        <w:rPr>
          <w:color w:val="3D3D3A"/>
        </w:rPr>
        <w:t>-coded district rankings.</w:t>
      </w:r>
    </w:p>
    <w:p w:rsidR="00A373A0" w:rsidRDefault="00000000">
      <w:pPr>
        <w:pStyle w:val="ListParagraph"/>
        <w:numPr>
          <w:ilvl w:val="0"/>
          <w:numId w:val="1"/>
        </w:numPr>
        <w:spacing w:before="60" w:after="60"/>
        <w:ind w:left="360"/>
      </w:pPr>
      <w:r>
        <w:rPr>
          <w:b/>
          <w:bCs/>
          <w:color w:val="2C2C2A"/>
        </w:rPr>
        <w:t xml:space="preserve">Reproducibility: </w:t>
      </w:r>
      <w:r>
        <w:rPr>
          <w:color w:val="3D3D3A"/>
        </w:rPr>
        <w:t>All source data, extraction scripts, notebooks, and the Tableau workbook are available in the project GitHub repository.</w:t>
      </w:r>
    </w:p>
    <w:p w:rsidR="00A373A0" w:rsidRDefault="00A373A0">
      <w:pPr>
        <w:spacing w:before="160" w:after="80"/>
      </w:pPr>
    </w:p>
    <w:p w:rsidR="00A373A0" w:rsidRDefault="00000000">
      <w:pPr>
        <w:jc w:val="center"/>
      </w:pPr>
      <w:r>
        <w:rPr>
          <w:i/>
          <w:iCs/>
          <w:color w:val="5F5E5A"/>
          <w:sz w:val="16"/>
          <w:szCs w:val="16"/>
        </w:rPr>
        <w:t>Data source: UDISE+ 2024-25 (</w:t>
      </w:r>
      <w:r w:rsidR="00DF7B58">
        <w:rPr>
          <w:i/>
          <w:iCs/>
          <w:color w:val="5F5E5A"/>
          <w:sz w:val="16"/>
          <w:szCs w:val="16"/>
        </w:rPr>
        <w:t>udiseplus.gov.in) | Analysis</w:t>
      </w:r>
      <w:r>
        <w:rPr>
          <w:i/>
          <w:iCs/>
          <w:color w:val="5F5E5A"/>
          <w:sz w:val="16"/>
          <w:szCs w:val="16"/>
        </w:rPr>
        <w:t xml:space="preserve"> by Kajal </w:t>
      </w:r>
      <w:r w:rsidR="00DF7B58">
        <w:rPr>
          <w:i/>
          <w:iCs/>
          <w:color w:val="5F5E5A"/>
          <w:sz w:val="16"/>
          <w:szCs w:val="16"/>
        </w:rPr>
        <w:t>Kumari | kumari.kajal29003@gmail.com</w:t>
      </w:r>
    </w:p>
    <w:sectPr w:rsidR="00A373A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E45C4" w:rsidRDefault="00EE45C4">
      <w:r>
        <w:separator/>
      </w:r>
    </w:p>
  </w:endnote>
  <w:endnote w:type="continuationSeparator" w:id="0">
    <w:p w:rsidR="00EE45C4" w:rsidRDefault="00EE45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373A0" w:rsidRDefault="00000000">
    <w:pPr>
      <w:jc w:val="center"/>
    </w:pPr>
    <w:r>
      <w:rPr>
        <w:color w:val="5F5E5A"/>
        <w:sz w:val="14"/>
        <w:szCs w:val="14"/>
      </w:rPr>
      <w:t>Data source: UDISE+ 2024-25 | udiseplus.gov.in | Personal research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E45C4" w:rsidRDefault="00EE45C4">
      <w:r>
        <w:separator/>
      </w:r>
    </w:p>
  </w:footnote>
  <w:footnote w:type="continuationSeparator" w:id="0">
    <w:p w:rsidR="00EE45C4" w:rsidRDefault="00EE45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373A0" w:rsidRDefault="00000000">
    <w:pPr>
      <w:jc w:val="right"/>
    </w:pPr>
    <w:r>
      <w:rPr>
        <w:color w:val="5F5E5A"/>
        <w:sz w:val="16"/>
        <w:szCs w:val="16"/>
      </w:rPr>
      <w:t>Jharkhand School Dropout Analysis | UDISE+ 2024-25 | Kajal Kumari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9D2330"/>
    <w:multiLevelType w:val="hybridMultilevel"/>
    <w:tmpl w:val="BCCA0788"/>
    <w:lvl w:ilvl="0" w:tplc="39BEBADA">
      <w:start w:val="1"/>
      <w:numFmt w:val="bullet"/>
      <w:lvlText w:val="●"/>
      <w:lvlJc w:val="left"/>
      <w:pPr>
        <w:ind w:left="720" w:hanging="360"/>
      </w:pPr>
    </w:lvl>
    <w:lvl w:ilvl="1" w:tplc="BA642384">
      <w:start w:val="1"/>
      <w:numFmt w:val="bullet"/>
      <w:lvlText w:val="○"/>
      <w:lvlJc w:val="left"/>
      <w:pPr>
        <w:ind w:left="1440" w:hanging="360"/>
      </w:pPr>
    </w:lvl>
    <w:lvl w:ilvl="2" w:tplc="04F238F0">
      <w:start w:val="1"/>
      <w:numFmt w:val="bullet"/>
      <w:lvlText w:val="■"/>
      <w:lvlJc w:val="left"/>
      <w:pPr>
        <w:ind w:left="2160" w:hanging="360"/>
      </w:pPr>
    </w:lvl>
    <w:lvl w:ilvl="3" w:tplc="C0B0A156">
      <w:start w:val="1"/>
      <w:numFmt w:val="bullet"/>
      <w:lvlText w:val="●"/>
      <w:lvlJc w:val="left"/>
      <w:pPr>
        <w:ind w:left="2880" w:hanging="360"/>
      </w:pPr>
    </w:lvl>
    <w:lvl w:ilvl="4" w:tplc="DABAABE8">
      <w:start w:val="1"/>
      <w:numFmt w:val="bullet"/>
      <w:lvlText w:val="○"/>
      <w:lvlJc w:val="left"/>
      <w:pPr>
        <w:ind w:left="3600" w:hanging="360"/>
      </w:pPr>
    </w:lvl>
    <w:lvl w:ilvl="5" w:tplc="770C92BA">
      <w:start w:val="1"/>
      <w:numFmt w:val="bullet"/>
      <w:lvlText w:val="■"/>
      <w:lvlJc w:val="left"/>
      <w:pPr>
        <w:ind w:left="4320" w:hanging="360"/>
      </w:pPr>
    </w:lvl>
    <w:lvl w:ilvl="6" w:tplc="58341BC4">
      <w:start w:val="1"/>
      <w:numFmt w:val="bullet"/>
      <w:lvlText w:val="●"/>
      <w:lvlJc w:val="left"/>
      <w:pPr>
        <w:ind w:left="5040" w:hanging="360"/>
      </w:pPr>
    </w:lvl>
    <w:lvl w:ilvl="7" w:tplc="79AAF968">
      <w:start w:val="1"/>
      <w:numFmt w:val="bullet"/>
      <w:lvlText w:val="●"/>
      <w:lvlJc w:val="left"/>
      <w:pPr>
        <w:ind w:left="5760" w:hanging="360"/>
      </w:pPr>
    </w:lvl>
    <w:lvl w:ilvl="8" w:tplc="A7A8442E">
      <w:start w:val="1"/>
      <w:numFmt w:val="bullet"/>
      <w:lvlText w:val="●"/>
      <w:lvlJc w:val="left"/>
      <w:pPr>
        <w:ind w:left="6480" w:hanging="360"/>
      </w:pPr>
    </w:lvl>
  </w:abstractNum>
  <w:num w:numId="1" w16cid:durableId="966824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3A0"/>
    <w:rsid w:val="00373564"/>
    <w:rsid w:val="00A373A0"/>
    <w:rsid w:val="00DF7B58"/>
    <w:rsid w:val="00EE45C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254A5"/>
  <w15:docId w15:val="{4A2AD9C8-AA21-4393-85E1-F08702E36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897</Words>
  <Characters>5115</Characters>
  <Application>Microsoft Office Word</Application>
  <DocSecurity>0</DocSecurity>
  <Lines>42</Lines>
  <Paragraphs>11</Paragraphs>
  <ScaleCrop>false</ScaleCrop>
  <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Kajal Kumari</cp:lastModifiedBy>
  <cp:revision>2</cp:revision>
  <dcterms:created xsi:type="dcterms:W3CDTF">2026-04-03T07:09:00Z</dcterms:created>
  <dcterms:modified xsi:type="dcterms:W3CDTF">2026-04-03T07:57:00Z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1a6d9de1-e81e-4bdb-acbc-72faa4c339f8</vt:lpwstr>
  </property>
</Properties>
</file>