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Dataset Recommendation Report</w:t>
      </w:r>
    </w:p>
    <w:p>
      <w:pPr>
        <w:spacing w:after="60"/>
      </w:pPr>
      <w:r>
        <w:rPr>
          <w:i/>
          <w:iCs/>
        </w:rPr>
        <w:t xml:space="preserve">IT4010 Research Project – Explainable AI-Driven IDS and SOC Automation for Industrial IoT Security</w:t>
      </w:r>
    </w:p>
    <w:p>
      <w:pPr>
        <w:spacing w:after="300"/>
      </w:pPr>
      <w:r>
        <w:rPr>
          <w:i/>
          <w:iCs/>
          <w:color w:val="555555"/>
        </w:rPr>
        <w:t xml:space="preserve">Component: Student 1 – Machine Learning-Based Intrusion Detection System for Industrial IoT Networks (Solar Power sub-domain)</w:t>
      </w:r>
    </w:p>
    <w:p>
      <w:pPr>
        <w:pStyle w:val="Heading1"/>
        <w:spacing w:after="150" w:before="300"/>
      </w:pPr>
      <w:r>
        <w:t xml:space="preserve">1. Purpose</w:t>
      </w:r>
    </w:p>
    <w:p>
      <w:pPr>
        <w:spacing w:after="120"/>
      </w:pPr>
      <w:r>
        <w:t xml:space="preserve">This document summarizes candidate public datasets for training and evaluating the Machine Learning-Based Intrusion Detection System (IDS) proposed for the Solar Power sub-domain of the Industrial IoT (IIoT) energy plant environment, and provides supporting notes for the other three energy sub-domains (Wind, Electric Power, and Nuclear) considered under the same project.</w:t>
      </w:r>
    </w:p>
    <w:p>
      <w:pPr>
        <w:pStyle w:val="Heading1"/>
        <w:spacing w:after="150" w:before="300"/>
      </w:pPr>
      <w:r>
        <w:t xml:space="preserve">2. Background</w:t>
      </w:r>
    </w:p>
    <w:p>
      <w:pPr>
        <w:spacing w:after="120"/>
      </w:pPr>
      <w:r>
        <w:t xml:space="preserve">The project environment (“energy plant”) was divided into four sub-categories: Nuclear Power, Electric Power, Solar Power, and Wind Power. No single publicly available dataset provides fully labeled Industrial IoT attack traffic specific to a solar power plant. This is a known and documented gap in the literature, which strengthens the novelty argument of this component rather than weakening it. Because of this gap, a closest-match and hybrid-dataset strategy is recommended instead of relying on one perfectly matching dataset.</w:t>
      </w:r>
    </w:p>
    <w:p>
      <w:pPr>
        <w:pStyle w:val="Heading1"/>
        <w:spacing w:after="150" w:before="300"/>
      </w:pPr>
      <w:r>
        <w:t xml:space="preserve">3. Summary Table – Recommended Datasets by Category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200"/>
        <w:gridCol w:w="1300"/>
      </w:tblGrid>
      <w:tr>
        <w:trPr>
          <w:tblHeader/>
        </w:trPr>
        <w:tc>
          <w:tcPr>
            <w:tcW w:type="dxa" w:w="1800"/>
            <w:shd w:fill="1F4E78" w:color="auto" w:val="clear"/>
            <w:tcMar>
              <w:top w:type="dxa" w:w="80"/>
              <w:left w:type="dxa" w:w="100"/>
              <w:bottom w:type="dxa" w:w="80"/>
              <w:right w:type="dxa" w:w="100"/>
            </w:tcMar>
          </w:tcPr>
          <w:p>
            <w:r>
              <w:rPr>
                <w:b/>
                <w:bCs/>
                <w:color w:val="FFFFFF"/>
                <w:sz w:val="20"/>
                <w:szCs w:val="20"/>
              </w:rPr>
              <w:t xml:space="preserve">Category</w:t>
            </w:r>
          </w:p>
        </w:tc>
        <w:tc>
          <w:tcPr>
            <w:tcW w:type="dxa" w:w="3200"/>
            <w:shd w:fill="1F4E78" w:color="auto" w:val="clear"/>
            <w:tcMar>
              <w:top w:type="dxa" w:w="80"/>
              <w:left w:type="dxa" w:w="100"/>
              <w:bottom w:type="dxa" w:w="80"/>
              <w:right w:type="dxa" w:w="100"/>
            </w:tcMar>
          </w:tcPr>
          <w:p>
            <w:r>
              <w:rPr>
                <w:b/>
                <w:bCs/>
                <w:color w:val="FFFFFF"/>
                <w:sz w:val="20"/>
                <w:szCs w:val="20"/>
              </w:rPr>
              <w:t xml:space="preserve">Recommended Dataset</w:t>
            </w:r>
          </w:p>
        </w:tc>
        <w:tc>
          <w:tcPr>
            <w:tcW w:type="dxa" w:w="3200"/>
            <w:shd w:fill="1F4E78" w:color="auto" w:val="clear"/>
            <w:tcMar>
              <w:top w:type="dxa" w:w="80"/>
              <w:left w:type="dxa" w:w="100"/>
              <w:bottom w:type="dxa" w:w="80"/>
              <w:right w:type="dxa" w:w="100"/>
            </w:tcMar>
          </w:tcPr>
          <w:p>
            <w:r>
              <w:rPr>
                <w:b/>
                <w:bCs/>
                <w:color w:val="FFFFFF"/>
                <w:sz w:val="20"/>
                <w:szCs w:val="20"/>
              </w:rPr>
              <w:t xml:space="preserve">Match Quality / Notes</w:t>
            </w:r>
          </w:p>
        </w:tc>
        <w:tc>
          <w:tcPr>
            <w:tcW w:type="dxa" w:w="1300"/>
            <w:shd w:fill="1F4E78" w:color="auto" w:val="clear"/>
            <w:tcMar>
              <w:top w:type="dxa" w:w="80"/>
              <w:left w:type="dxa" w:w="100"/>
              <w:bottom w:type="dxa" w:w="80"/>
              <w:right w:type="dxa" w:w="100"/>
            </w:tcMar>
          </w:tcPr>
          <w:p>
            <w:r>
              <w:rPr>
                <w:b/>
                <w:bCs/>
                <w:color w:val="FFFFFF"/>
                <w:sz w:val="20"/>
                <w:szCs w:val="20"/>
              </w:rPr>
              <w:t xml:space="preserve">Type</w:t>
            </w:r>
          </w:p>
        </w:tc>
      </w:tr>
      <w:tr>
        <w:tc>
          <w:tcPr>
            <w:tcW w:type="dxa" w:w="1800"/>
            <w:tcMar>
              <w:top w:type="dxa" w:w="80"/>
              <w:left w:type="dxa" w:w="100"/>
              <w:bottom w:type="dxa" w:w="80"/>
              <w:right w:type="dxa" w:w="100"/>
            </w:tcMar>
          </w:tcPr>
          <w:p>
            <w:r>
              <w:rPr>
                <w:b w:val="false"/>
                <w:bCs w:val="false"/>
                <w:sz w:val="20"/>
                <w:szCs w:val="20"/>
              </w:rPr>
              <w:t xml:space="preserve">Solar Power
(this project's component)</w:t>
            </w:r>
          </w:p>
        </w:tc>
        <w:tc>
          <w:tcPr>
            <w:tcW w:type="dxa" w:w="3200"/>
            <w:tcMar>
              <w:top w:type="dxa" w:w="80"/>
              <w:left w:type="dxa" w:w="100"/>
              <w:bottom w:type="dxa" w:w="80"/>
              <w:right w:type="dxa" w:w="100"/>
            </w:tcMar>
          </w:tcPr>
          <w:p>
            <w:r>
              <w:rPr>
                <w:b w:val="false"/>
                <w:bCs w:val="false"/>
                <w:sz w:val="20"/>
                <w:szCs w:val="20"/>
              </w:rPr>
              <w:t xml:space="preserve">Cyber-security Modbus ICS Dataset
(University of Coimbra)</w:t>
            </w:r>
          </w:p>
        </w:tc>
        <w:tc>
          <w:tcPr>
            <w:tcW w:type="dxa" w:w="3200"/>
            <w:tcMar>
              <w:top w:type="dxa" w:w="80"/>
              <w:left w:type="dxa" w:w="100"/>
              <w:bottom w:type="dxa" w:w="80"/>
              <w:right w:type="dxa" w:w="100"/>
            </w:tcMar>
          </w:tcPr>
          <w:p>
            <w:r>
              <w:rPr>
                <w:b w:val="false"/>
                <w:bCs w:val="false"/>
                <w:sz w:val="20"/>
                <w:szCs w:val="20"/>
              </w:rPr>
              <w:t xml:space="preserve">Not solar-specific, but this is the same base dataset used by a published solar-inverter PLC anomaly detection study (CMC, 2023). Academically defensible substitute.</w:t>
            </w:r>
          </w:p>
        </w:tc>
        <w:tc>
          <w:tcPr>
            <w:tcW w:type="dxa" w:w="1300"/>
            <w:tcMar>
              <w:top w:type="dxa" w:w="80"/>
              <w:left w:type="dxa" w:w="100"/>
              <w:bottom w:type="dxa" w:w="80"/>
              <w:right w:type="dxa" w:w="100"/>
            </w:tcMar>
          </w:tcPr>
          <w:p>
            <w:r>
              <w:rPr>
                <w:b w:val="false"/>
                <w:bCs w:val="false"/>
                <w:sz w:val="20"/>
                <w:szCs w:val="20"/>
              </w:rPr>
              <w:t xml:space="preserve">Network traffic (Modbus/TCP), labeled attacks</w:t>
            </w:r>
          </w:p>
        </w:tc>
      </w:tr>
      <w:tr>
        <w:tc>
          <w:tcPr>
            <w:tcW w:type="dxa" w:w="1800"/>
            <w:tcMar>
              <w:top w:type="dxa" w:w="80"/>
              <w:left w:type="dxa" w:w="100"/>
              <w:bottom w:type="dxa" w:w="80"/>
              <w:right w:type="dxa" w:w="100"/>
            </w:tcMar>
          </w:tcPr>
          <w:p>
            <w:r>
              <w:rPr>
                <w:b w:val="false"/>
                <w:bCs w:val="false"/>
                <w:sz w:val="20"/>
                <w:szCs w:val="20"/>
              </w:rPr>
              <w:t xml:space="preserve">Wind Power</w:t>
            </w:r>
          </w:p>
        </w:tc>
        <w:tc>
          <w:tcPr>
            <w:tcW w:type="dxa" w:w="3200"/>
            <w:tcMar>
              <w:top w:type="dxa" w:w="80"/>
              <w:left w:type="dxa" w:w="100"/>
              <w:bottom w:type="dxa" w:w="80"/>
              <w:right w:type="dxa" w:w="100"/>
            </w:tcMar>
          </w:tcPr>
          <w:p>
            <w:r>
              <w:rPr>
                <w:b w:val="false"/>
                <w:bCs w:val="false"/>
                <w:sz w:val="20"/>
                <w:szCs w:val="20"/>
              </w:rPr>
              <w:t xml:space="preserve">Wind Turbine SCADA Data – CARE Dataset (Zenodo / Kaggle)</w:t>
            </w:r>
          </w:p>
        </w:tc>
        <w:tc>
          <w:tcPr>
            <w:tcW w:type="dxa" w:w="3200"/>
            <w:tcMar>
              <w:top w:type="dxa" w:w="80"/>
              <w:left w:type="dxa" w:w="100"/>
              <w:bottom w:type="dxa" w:w="80"/>
              <w:right w:type="dxa" w:w="100"/>
            </w:tcMar>
          </w:tcPr>
          <w:p>
            <w:r>
              <w:rPr>
                <w:b w:val="false"/>
                <w:bCs w:val="false"/>
                <w:sz w:val="20"/>
                <w:szCs w:val="20"/>
              </w:rPr>
              <w:t xml:space="preserve">36 real turbines, 89 turbine-years of SCADA data, labeled anomaly events. Fault/anomaly labels, not attack labels – anomalies can be reframed as intrusion-like deviations.</w:t>
            </w:r>
          </w:p>
        </w:tc>
        <w:tc>
          <w:tcPr>
            <w:tcW w:type="dxa" w:w="1300"/>
            <w:tcMar>
              <w:top w:type="dxa" w:w="80"/>
              <w:left w:type="dxa" w:w="100"/>
              <w:bottom w:type="dxa" w:w="80"/>
              <w:right w:type="dxa" w:w="100"/>
            </w:tcMar>
          </w:tcPr>
          <w:p>
            <w:r>
              <w:rPr>
                <w:b w:val="false"/>
                <w:bCs w:val="false"/>
                <w:sz w:val="20"/>
                <w:szCs w:val="20"/>
              </w:rPr>
              <w:t xml:space="preserve">Sensor/SCADA telemetry, labeled anomalies</w:t>
            </w:r>
          </w:p>
        </w:tc>
      </w:tr>
      <w:tr>
        <w:tc>
          <w:tcPr>
            <w:tcW w:type="dxa" w:w="1800"/>
            <w:tcMar>
              <w:top w:type="dxa" w:w="80"/>
              <w:left w:type="dxa" w:w="100"/>
              <w:bottom w:type="dxa" w:w="80"/>
              <w:right w:type="dxa" w:w="100"/>
            </w:tcMar>
          </w:tcPr>
          <w:p>
            <w:r>
              <w:rPr>
                <w:b w:val="false"/>
                <w:bCs w:val="false"/>
                <w:sz w:val="20"/>
                <w:szCs w:val="20"/>
              </w:rPr>
              <w:t xml:space="preserve">Electric Power (Grid/Distribution)</w:t>
            </w:r>
          </w:p>
        </w:tc>
        <w:tc>
          <w:tcPr>
            <w:tcW w:type="dxa" w:w="3200"/>
            <w:tcMar>
              <w:top w:type="dxa" w:w="80"/>
              <w:left w:type="dxa" w:w="100"/>
              <w:bottom w:type="dxa" w:w="80"/>
              <w:right w:type="dxa" w:w="100"/>
            </w:tcMar>
          </w:tcPr>
          <w:p>
            <w:r>
              <w:rPr>
                <w:b w:val="false"/>
                <w:bCs w:val="false"/>
                <w:sz w:val="20"/>
                <w:szCs w:val="20"/>
              </w:rPr>
              <w:t xml:space="preserve">SCADA Electricity Distribution Dataset (IEC 60870-5-104)</w:t>
            </w:r>
          </w:p>
        </w:tc>
        <w:tc>
          <w:tcPr>
            <w:tcW w:type="dxa" w:w="3200"/>
            <w:tcMar>
              <w:top w:type="dxa" w:w="80"/>
              <w:left w:type="dxa" w:w="100"/>
              <w:bottom w:type="dxa" w:w="80"/>
              <w:right w:type="dxa" w:w="100"/>
            </w:tcMar>
          </w:tcPr>
          <w:p>
            <w:r>
              <w:rPr>
                <w:b w:val="false"/>
                <w:bCs w:val="false"/>
                <w:sz w:val="20"/>
                <w:szCs w:val="20"/>
              </w:rPr>
              <w:t xml:space="preserve">Best direct match of the four. Purpose-built for the power sector with labeled cyberattacks (port scans, floods, brute force).</w:t>
            </w:r>
          </w:p>
        </w:tc>
        <w:tc>
          <w:tcPr>
            <w:tcW w:type="dxa" w:w="1300"/>
            <w:tcMar>
              <w:top w:type="dxa" w:w="80"/>
              <w:left w:type="dxa" w:w="100"/>
              <w:bottom w:type="dxa" w:w="80"/>
              <w:right w:type="dxa" w:w="100"/>
            </w:tcMar>
          </w:tcPr>
          <w:p>
            <w:r>
              <w:rPr>
                <w:b w:val="false"/>
                <w:bCs w:val="false"/>
                <w:sz w:val="20"/>
                <w:szCs w:val="20"/>
              </w:rPr>
              <w:t xml:space="preserve">Network traffic, labeled attacks</w:t>
            </w:r>
          </w:p>
        </w:tc>
      </w:tr>
      <w:tr>
        <w:tc>
          <w:tcPr>
            <w:tcW w:type="dxa" w:w="1800"/>
            <w:tcMar>
              <w:top w:type="dxa" w:w="80"/>
              <w:left w:type="dxa" w:w="100"/>
              <w:bottom w:type="dxa" w:w="80"/>
              <w:right w:type="dxa" w:w="100"/>
            </w:tcMar>
          </w:tcPr>
          <w:p>
            <w:r>
              <w:rPr>
                <w:b w:val="false"/>
                <w:bCs w:val="false"/>
                <w:sz w:val="20"/>
                <w:szCs w:val="20"/>
              </w:rPr>
              <w:t xml:space="preserve">Nuclear Power</w:t>
            </w:r>
          </w:p>
        </w:tc>
        <w:tc>
          <w:tcPr>
            <w:tcW w:type="dxa" w:w="3200"/>
            <w:tcMar>
              <w:top w:type="dxa" w:w="80"/>
              <w:left w:type="dxa" w:w="100"/>
              <w:bottom w:type="dxa" w:w="80"/>
              <w:right w:type="dxa" w:w="100"/>
            </w:tcMar>
          </w:tcPr>
          <w:p>
            <w:r>
              <w:rPr>
                <w:b w:val="false"/>
                <w:bCs w:val="false"/>
                <w:sz w:val="20"/>
                <w:szCs w:val="20"/>
              </w:rPr>
              <w:t xml:space="preserve">No public labeled dataset exists</w:t>
            </w:r>
          </w:p>
        </w:tc>
        <w:tc>
          <w:tcPr>
            <w:tcW w:type="dxa" w:w="3200"/>
            <w:tcMar>
              <w:top w:type="dxa" w:w="80"/>
              <w:left w:type="dxa" w:w="100"/>
              <w:bottom w:type="dxa" w:w="80"/>
              <w:right w:type="dxa" w:w="100"/>
            </w:tcMar>
          </w:tcPr>
          <w:p>
            <w:r>
              <w:rPr>
                <w:b w:val="false"/>
                <w:bCs w:val="false"/>
                <w:sz w:val="20"/>
                <w:szCs w:val="20"/>
              </w:rPr>
              <w:t xml:space="preserve">Nuclear plant data is not released publicly for security reasons. Must use a generic ICS/SCADA dataset (e.g. the Coimbra dataset) as a stand-in, justified as a representative testbed.</w:t>
            </w:r>
          </w:p>
        </w:tc>
        <w:tc>
          <w:tcPr>
            <w:tcW w:type="dxa" w:w="1300"/>
            <w:tcMar>
              <w:top w:type="dxa" w:w="80"/>
              <w:left w:type="dxa" w:w="100"/>
              <w:bottom w:type="dxa" w:w="80"/>
              <w:right w:type="dxa" w:w="100"/>
            </w:tcMar>
          </w:tcPr>
          <w:p>
            <w:r>
              <w:rPr>
                <w:b w:val="false"/>
                <w:bCs w:val="false"/>
                <w:sz w:val="20"/>
                <w:szCs w:val="20"/>
              </w:rPr>
              <w:t xml:space="preserve">N/A – proxy dataset required</w:t>
            </w:r>
          </w:p>
        </w:tc>
      </w:tr>
    </w:tbl>
    <w:p>
      <w:pPr>
        <w:spacing w:after="200"/>
      </w:pPr>
    </w:p>
    <w:p>
      <w:pPr>
        <w:pStyle w:val="Heading1"/>
        <w:spacing w:after="150" w:before="300"/>
      </w:pPr>
      <w:r>
        <w:t xml:space="preserve">4. Recommended Dataset for the Solar Power Component</w:t>
      </w:r>
    </w:p>
    <w:p>
      <w:pPr>
        <w:pStyle w:val="Heading2"/>
        <w:spacing w:after="120" w:before="250"/>
      </w:pPr>
      <w:r>
        <w:t xml:space="preserve">4.1 Primary Dataset – Network Attack Traffic</w:t>
      </w:r>
    </w:p>
    <w:p>
      <w:pPr>
        <w:spacing w:after="120"/>
      </w:pPr>
      <w:r>
        <w:rPr>
          <w:b/>
          <w:bCs/>
        </w:rPr>
        <w:t xml:space="preserve">Cyber-security Modbus ICS Dataset (University of Coimbra)</w:t>
      </w:r>
    </w:p>
    <w:p>
      <w:pPr>
        <w:spacing w:after="120"/>
      </w:pPr>
      <w:r>
        <w:rPr>
          <w:b/>
          <w:bCs/>
        </w:rPr>
        <w:t xml:space="preserve">Source: </w:t>
      </w:r>
      <w:hyperlink w:history="1" r:id="rId1h4rb6cq-iwha7rugawst">
        <w:r>
          <w:rPr>
            <w:rStyle w:val="Hyperlink"/>
          </w:rPr>
          <w:t xml:space="preserve">https://ieee-dataport.org/documents/cyber-security-modbus-ics-dataset</w:t>
        </w:r>
      </w:hyperlink>
    </w:p>
    <w:p>
      <w:pPr>
        <w:spacing w:after="120"/>
      </w:pPr>
      <w:r>
        <w:t xml:space="preserve">Justification: This dataset was generated from a small-scale industrial process automation testbed using MODBUS/TCP equipment, simulating a PLC-controlled process with normal and attack traffic. It is the same base dataset used in a published solar-plant anomaly detection study, “Solar Power Plant Network Packet-Based Anomaly Detection System for Cybersecurity” (CMC, 2023), which reused this dataset to represent PLC-to-inverter communication under Denial-of-Service (DoS) and Man-in-the-Middle (MitM) attacks. Reusing it here follows an established precedent in the closest existing solar-specific research.</w:t>
      </w:r>
    </w:p>
    <w:p>
      <w:pPr>
        <w:spacing w:after="120"/>
      </w:pPr>
      <w:r>
        <w:rPr>
          <w:b/>
          <w:bCs/>
        </w:rPr>
        <w:t xml:space="preserve">Reference paper: </w:t>
      </w:r>
      <w:hyperlink w:history="1" r:id="rIdygi-wsqgn14ivuldhbqd_">
        <w:r>
          <w:rPr>
            <w:rStyle w:val="Hyperlink"/>
          </w:rPr>
          <w:t xml:space="preserve">https://www.techscience.com/cmc/v77n1/54457/html</w:t>
        </w:r>
      </w:hyperlink>
    </w:p>
    <w:p>
      <w:pPr>
        <w:pStyle w:val="Heading2"/>
        <w:spacing w:after="120" w:before="250"/>
      </w:pPr>
      <w:r>
        <w:t xml:space="preserve">4.2 Supplementary Dataset – Benign Sensor / Telemetry Data</w:t>
      </w:r>
    </w:p>
    <w:p>
      <w:pPr>
        <w:spacing w:after="120"/>
      </w:pPr>
      <w:r>
        <w:rPr>
          <w:b/>
          <w:bCs/>
        </w:rPr>
        <w:t xml:space="preserve">Solar Power Generation Datasets (e.g. Kaggle “Solar Power Generation Data”, or DKASC Alice Springs PV Datasets)</w:t>
      </w:r>
    </w:p>
    <w:p>
      <w:pPr>
        <w:spacing w:after="120"/>
      </w:pPr>
      <w:r>
        <w:t xml:space="preserve">Justification: The Coimbra dataset provides network-layer traffic only. It does not contain physical sensor readings such as panel voltage, current, irradiance, or inverter output. A benign solar telemetry dataset is needed to represent normal equipment/sensor behavior, especially given the sensor noise-cancellation and equipment-level considerations noted for this environment.</w:t>
      </w:r>
    </w:p>
    <w:p>
      <w:pPr>
        <w:pStyle w:val="Heading2"/>
        <w:spacing w:after="120" w:before="250"/>
      </w:pPr>
      <w:r>
        <w:t xml:space="preserve">4.3 Optional – Broader IIoT Attack Variety</w:t>
      </w:r>
    </w:p>
    <w:p>
      <w:pPr>
        <w:spacing w:after="120"/>
      </w:pPr>
      <w:r>
        <w:t xml:space="preserve">ToN-IoT and Edge-IIoTset (already listed in the TAF, Section 8) can supply additional attack types (malware, reconnaissance, DoS variants) beyond what the Coimbra dataset covers, to widen the comparative evaluation across Random Forest, XGBoost, and Isolation Forest models.</w:t>
      </w:r>
    </w:p>
    <w:p>
      <w:pPr>
        <w:pStyle w:val="Heading1"/>
        <w:spacing w:after="150" w:before="300"/>
      </w:pPr>
      <w:r>
        <w:t xml:space="preserve">5. Recommended Hybrid Dataset Strategy</w:t>
      </w:r>
    </w:p>
    <w:p>
      <w:pPr>
        <w:pStyle w:val="ListParagraph"/>
        <w:numPr>
          <w:ilvl w:val="0"/>
          <w:numId w:val="2"/>
        </w:numPr>
        <w:spacing w:after="80"/>
      </w:pPr>
      <w:r>
        <w:t xml:space="preserve">Train and evaluate ML models primarily on the Coimbra Modbus ICS dataset for network-layer intrusion detection.</w:t>
      </w:r>
    </w:p>
    <w:p>
      <w:pPr>
        <w:pStyle w:val="ListParagraph"/>
        <w:numPr>
          <w:ilvl w:val="0"/>
          <w:numId w:val="2"/>
        </w:numPr>
        <w:spacing w:after="80"/>
      </w:pPr>
      <w:r>
        <w:t xml:space="preserve">Supplement with solar sensor telemetry data to represent normal physical/equipment behavior.</w:t>
      </w:r>
    </w:p>
    <w:p>
      <w:pPr>
        <w:pStyle w:val="ListParagraph"/>
        <w:numPr>
          <w:ilvl w:val="0"/>
          <w:numId w:val="2"/>
        </w:numPr>
        <w:spacing w:after="80"/>
      </w:pPr>
      <w:r>
        <w:t xml:space="preserve">Where sensor-level attack data is unavailable, simulate and inject synthetic attack scenarios (e.g. sensor spoofing, data injection, communication DoS) into the benign telemetry data within a controlled lab environment.</w:t>
      </w:r>
    </w:p>
    <w:p>
      <w:pPr>
        <w:pStyle w:val="ListParagraph"/>
        <w:numPr>
          <w:ilvl w:val="0"/>
          <w:numId w:val="2"/>
        </w:numPr>
        <w:spacing w:after="80"/>
      </w:pPr>
      <w:r>
        <w:t xml:space="preserve">This mirrors the methodology used in recent ICS/SCADA security research where domain-specific labeled datasets do not exist.</w:t>
      </w:r>
    </w:p>
    <w:p>
      <w:pPr>
        <w:pStyle w:val="Heading1"/>
        <w:spacing w:after="150" w:before="300"/>
      </w:pPr>
      <w:r>
        <w:t xml:space="preserve">6. Notes on the Other Three Sub-Domains</w:t>
      </w:r>
    </w:p>
    <w:p>
      <w:pPr>
        <w:pStyle w:val="Heading2"/>
        <w:spacing w:after="120" w:before="250"/>
      </w:pPr>
      <w:r>
        <w:t xml:space="preserve">6.1 Wind Power</w:t>
      </w:r>
    </w:p>
    <w:p>
      <w:pPr>
        <w:spacing w:after="120"/>
      </w:pPr>
      <w:r>
        <w:rPr>
          <w:b/>
          <w:bCs/>
        </w:rPr>
        <w:t xml:space="preserve">Wind Turbine SCADA Data (CARE Dataset)</w:t>
      </w:r>
    </w:p>
    <w:p>
      <w:pPr>
        <w:spacing w:after="120"/>
      </w:pPr>
      <w:r>
        <w:rPr>
          <w:b/>
          <w:bCs/>
        </w:rPr>
        <w:t xml:space="preserve">Source: </w:t>
      </w:r>
      <w:hyperlink w:history="1" r:id="rIdsoral1-nwzfdrg4peat0n">
        <w:r>
          <w:rPr>
            <w:rStyle w:val="Hyperlink"/>
          </w:rPr>
          <w:t xml:space="preserve">https://zenodo.org/records/10958775</w:t>
        </w:r>
      </w:hyperlink>
    </w:p>
    <w:p>
      <w:pPr>
        <w:spacing w:after="120"/>
      </w:pPr>
      <w:r>
        <w:t xml:space="preserve">Real SCADA data from 36 wind turbines across 3 wind farms, with 44 of 95 datasets containing labeled anomaly events. Not attack-labeled, but anomaly events can be treated as intrusion-like deviations for detection modeling.</w:t>
      </w:r>
    </w:p>
    <w:p>
      <w:pPr>
        <w:pStyle w:val="Heading2"/>
        <w:spacing w:after="120" w:before="250"/>
      </w:pPr>
      <w:r>
        <w:t xml:space="preserve">6.2 Electric Power (Grid / Distribution)</w:t>
      </w:r>
    </w:p>
    <w:p>
      <w:pPr>
        <w:spacing w:after="120"/>
      </w:pPr>
      <w:r>
        <w:rPr>
          <w:b/>
          <w:bCs/>
        </w:rPr>
        <w:t xml:space="preserve">SCADA Electricity Distribution Dataset (IEC 60870-5-104)</w:t>
      </w:r>
    </w:p>
    <w:p>
      <w:pPr>
        <w:spacing w:after="120"/>
      </w:pPr>
      <w:r>
        <w:rPr>
          <w:b/>
          <w:bCs/>
        </w:rPr>
        <w:t xml:space="preserve">Source: </w:t>
      </w:r>
      <w:hyperlink w:history="1" r:id="rIdw0xpt9makgnz__otpbdce">
        <w:r>
          <w:rPr>
            <w:rStyle w:val="Hyperlink"/>
          </w:rPr>
          <w:t xml:space="preserve">https://www.researchgate.net/publication/384649336_A_Novel_Dataset_for_Experimentation_with_Intrusion_Detection_Systems_in_SCADA_Networks_using_IEC_60870-5-104_Standard</w:t>
        </w:r>
      </w:hyperlink>
    </w:p>
    <w:p>
      <w:pPr>
        <w:spacing w:after="120"/>
      </w:pPr>
      <w:r>
        <w:t xml:space="preserve">Purpose-built for the electricity distribution sector with labeled attacks (port scans, brute force, floods) over a real SCADA protocol. This is the strongest direct match among the four sub-domains.</w:t>
      </w:r>
    </w:p>
    <w:p>
      <w:pPr>
        <w:spacing w:after="120"/>
      </w:pPr>
      <w:r>
        <w:rPr>
          <w:b/>
          <w:bCs/>
        </w:rPr>
        <w:t xml:space="preserve">Alternative option – Sherlock Dataset (Power Grid, process-aware IDS):</w:t>
      </w:r>
    </w:p>
    <w:p>
      <w:pPr>
        <w:spacing w:after="120"/>
      </w:pPr>
      <w:r>
        <w:rPr>
          <w:b/>
          <w:bCs/>
        </w:rPr>
        <w:t xml:space="preserve">Source: </w:t>
      </w:r>
      <w:hyperlink w:history="1" r:id="rIde5mfse96zcutt1kgsqgkj">
        <w:r>
          <w:rPr>
            <w:rStyle w:val="Hyperlink"/>
          </w:rPr>
          <w:t xml:space="preserve">https://sherlock.wattson.it/</w:t>
        </w:r>
      </w:hyperlink>
    </w:p>
    <w:p>
      <w:pPr>
        <w:pStyle w:val="Heading2"/>
        <w:spacing w:after="120" w:before="250"/>
      </w:pPr>
      <w:r>
        <w:t xml:space="preserve">6.3 Nuclear Power</w:t>
      </w:r>
    </w:p>
    <w:p>
      <w:pPr>
        <w:spacing w:after="120"/>
      </w:pPr>
      <w:r>
        <w:t xml:space="preserve">No publicly downloadable, labeled nuclear power plant cyberattack dataset exists, for security and regulatory reasons. Published research in this area (e.g. false data injection studies, Stuxnet-based analyses, simulated I&amp;C testbeds) does not release reusable datasets. The recommended workaround is to use a generic ICS/SCADA dataset (such as the Coimbra dataset or the electric power dataset above) as a representative proxy testbed, with this limitation explicitly stated and justified in the relevant TAF section.</w:t>
      </w:r>
    </w:p>
    <w:p>
      <w:pPr>
        <w:pStyle w:val="Heading1"/>
        <w:spacing w:after="150" w:before="300"/>
      </w:pPr>
      <w:r>
        <w:t xml:space="preserve">7. Overall Recommendation</w:t>
      </w:r>
    </w:p>
    <w:p>
      <w:pPr>
        <w:pStyle w:val="ListParagraph"/>
        <w:numPr>
          <w:ilvl w:val="0"/>
          <w:numId w:val="2"/>
        </w:numPr>
        <w:spacing w:after="80"/>
      </w:pPr>
      <w:r>
        <w:t xml:space="preserve">Best real match: Electric Power → IEC 60870-5-104 SCADA dataset.</w:t>
      </w:r>
    </w:p>
    <w:p>
      <w:pPr>
        <w:pStyle w:val="ListParagraph"/>
        <w:numPr>
          <w:ilvl w:val="0"/>
          <w:numId w:val="2"/>
        </w:numPr>
        <w:spacing w:after="80"/>
      </w:pPr>
      <w:r>
        <w:t xml:space="preserve">Second best: Wind Power → CARE Wind Turbine SCADA dataset.</w:t>
      </w:r>
    </w:p>
    <w:p>
      <w:pPr>
        <w:pStyle w:val="ListParagraph"/>
        <w:numPr>
          <w:ilvl w:val="0"/>
          <w:numId w:val="2"/>
        </w:numPr>
        <w:spacing w:after="80"/>
      </w:pPr>
      <w:r>
        <w:t xml:space="preserve">Workaround with academic precedent: Solar Power → Coimbra Modbus ICS dataset.</w:t>
      </w:r>
    </w:p>
    <w:p>
      <w:pPr>
        <w:pStyle w:val="ListParagraph"/>
        <w:numPr>
          <w:ilvl w:val="0"/>
          <w:numId w:val="2"/>
        </w:numPr>
        <w:spacing w:after="80"/>
      </w:pPr>
      <w:r>
        <w:t xml:space="preserve">No public option: Nuclear Power → generic ICS dataset used as a justified proxy.</w:t>
      </w:r>
    </w:p>
    <w:p>
      <w:pPr>
        <w:spacing w:after="120"/>
      </w:pPr>
      <w:r>
        <w:t xml:space="preserve"/>
      </w:r>
    </w:p>
    <w:p>
      <w:pPr>
        <w:spacing w:after="120"/>
      </w:pPr>
      <w:r>
        <w:t xml:space="preserve">For consistency across the group and to simplify TAF approval, it is recommended that all four students adopt a common base dataset (e.g. the Coimbra Modbus ICS dataset, or ToN-IoT / Edge-IIoTset) and supplement it with a category-specific dataset as described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h4rb6cq-iwha7rugawst" Type="http://schemas.openxmlformats.org/officeDocument/2006/relationships/hyperlink" Target="https://ieee-dataport.org/documents/cyber-security-modbus-ics-dataset" TargetMode="External"/><Relationship Id="rIdygi-wsqgn14ivuldhbqd_" Type="http://schemas.openxmlformats.org/officeDocument/2006/relationships/hyperlink" Target="https://www.techscience.com/cmc/v77n1/54457/html" TargetMode="External"/><Relationship Id="rIdsoral1-nwzfdrg4peat0n" Type="http://schemas.openxmlformats.org/officeDocument/2006/relationships/hyperlink" Target="https://zenodo.org/records/10958775" TargetMode="External"/><Relationship Id="rIdw0xpt9makgnz__otpbdce" Type="http://schemas.openxmlformats.org/officeDocument/2006/relationships/hyperlink" Target="https://www.researchgate.net/publication/384649336_A_Novel_Dataset_for_Experimentation_with_Intrusion_Detection_Systems_in_SCADA_Networks_using_IEC_60870-5-104_Standard" TargetMode="External"/><Relationship Id="rIde5mfse96zcutt1kgsqgkj" Type="http://schemas.openxmlformats.org/officeDocument/2006/relationships/hyperlink" Target="https://sherlock.wattson.i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2026-08-24T21:25:29.159Z</dcterms:created>
  <dcterms:modified xsi:type="dcterms:W3CDTF">2026-08-24T21:25:29.172Z</dcterms:modified>
</cp:coreProperties>
</file>

<file path=docProps/custom.xml><?xml version="1.0" encoding="utf-8"?>
<Properties xmlns="http://schemas.openxmlformats.org/officeDocument/2006/custom-properties" xmlns:vt="http://schemas.openxmlformats.org/officeDocument/2006/docPropsVTypes"/>
</file>