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200"/>
      </w:pPr>
      <w:r>
        <w:rPr>
          <w:rFonts w:ascii="Calibri" w:cs="Calibri" w:eastAsia="Calibri" w:hAnsi="Calibri"/>
          <w:b/>
          <w:bCs/>
          <w:color w:val="1F4E79"/>
          <w:sz w:val="52"/>
          <w:szCs w:val="52"/>
        </w:rPr>
        <w:t xml:space="preserve">ScanWell CRM</w:t>
      </w:r>
    </w:p>
    <w:p>
      <w:pPr>
        <w:spacing w:after="80" w:before="0"/>
      </w:pPr>
      <w:r>
        <w:rPr>
          <w:rFonts w:ascii="Calibri" w:cs="Calibri" w:eastAsia="Calibri" w:hAnsi="Calibri"/>
          <w:color w:val="2E75B6"/>
          <w:sz w:val="32"/>
          <w:szCs w:val="32"/>
        </w:rPr>
        <w:t xml:space="preserve">AI Integration — Project Timeline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640"/>
        <w:gridCol w:w="2400"/>
        <w:gridCol w:w="264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Version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2.0 (Agreed Scope)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Date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April 23, 2026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Project Start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May 4, 2026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Target Completion</w:t>
            </w:r>
          </w:p>
        </w:tc>
        <w:tc>
          <w:tcPr>
            <w:tcW w:type="dxa" w:w="26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September 18, 2026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Duration</w:t>
            </w:r>
          </w:p>
        </w:tc>
        <w:tc>
          <w:tcPr>
            <w:tcW w:type="dxa" w:w="7680"/>
            <w:gridSpan w:val="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20 Weeks (5 Months)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sz w:val="10"/>
          <w:szCs w:val="10"/>
        </w:rPr>
        <w:t xml:space="preserve"/>
      </w:r>
    </w:p>
    <w:p>
      <w:pPr>
        <w:pBdr>
          <w:bottom w:val="single" w:color="2E75B6" w:sz="6" w:space="6"/>
        </w:pBdr>
        <w:spacing w:after="120" w:before="3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1.  Project Timeline Overview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1A1A2E"/>
          <w:sz w:val="20"/>
          <w:szCs w:val="20"/>
        </w:rPr>
        <w:t xml:space="preserve">The AI integration project is planned across five phases over a 20-week period, covering the six AI features agreed in the AI Requirements document. Each phase corresponds to a deliverable milestone with a client review checkpoint.</w:t>
      </w:r>
    </w:p>
    <w:p>
      <w:pPr>
        <w:spacing w:after="0" w:before="0"/>
      </w:pPr>
      <w:r>
        <w:rPr>
          <w:rFonts w:ascii="Calibri" w:cs="Calibri" w:eastAsia="Calibri" w:hAnsi="Calibri"/>
          <w:sz w:val="10"/>
          <w:szCs w:val="10"/>
        </w:rPr>
        <w:t xml:space="preserve"/>
      </w:r>
    </w:p>
    <w:p>
      <w:pPr>
        <w:pBdr>
          <w:bottom w:val="single" w:color="2E75B6" w:sz="6" w:space="6"/>
        </w:pBdr>
        <w:spacing w:after="120" w:before="3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2.  Project Phases</w:t>
      </w:r>
    </w:p>
    <w:p>
      <w:pPr>
        <w:pBdr>
          <w:left w:val="single" w:color="2E75B6" w:sz="24" w:space="0"/>
        </w:pBdr>
        <w:shd w:fill="2E75B6" w:val="clear"/>
        <w:spacing w:after="100" w:before="240"/>
      </w:pP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Phase 1: </w:t>
      </w:r>
      <w:r>
        <w:rPr>
          <w:rFonts w:ascii="Calibri" w:cs="Calibri" w:eastAsia="Calibri" w:hAnsi="Calibri"/>
          <w:color w:val="FFFFFF"/>
          <w:sz w:val="24"/>
          <w:szCs w:val="24"/>
        </w:rPr>
        <w:t xml:space="preserve">Discovery &amp; Architecture</w:t>
      </w:r>
      <w:r>
        <w:rPr>
          <w:rFonts w:ascii="Calibri" w:cs="Calibri" w:eastAsia="Calibri" w:hAnsi="Calibri"/>
          <w:color w:val="DDDDDD"/>
          <w:sz w:val="20"/>
          <w:szCs w:val="20"/>
        </w:rPr>
        <w:t xml:space="preserve">  —  Weeks 1–2  |  May 4 – May 15, 2026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Activities: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Codebase audit and AI integration feasibility assessment against agreed requirements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Review existing Activities, Quotes, Rates, Accounts, and Reports modules for integration points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Identify candidate liner sources and customs portals for route and regulation data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Define data schemas for AI inputs/outputs and external data caching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Finalise technical architecture: API endpoints, map integration approach, Claude API setup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Set up Claude API account and development environment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Deliverables: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Technical Architecture Document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AI Integration Design Specification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Data source catalogue (liners + customs portals)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Development environment ready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Milestone Review: </w:t>
      </w:r>
      <w:r>
        <w:rPr>
          <w:rFonts w:ascii="Calibri" w:cs="Calibri" w:eastAsia="Calibri" w:hAnsi="Calibri"/>
          <w:b/>
          <w:bCs/>
          <w:color w:val="1E7145"/>
          <w:sz w:val="20"/>
          <w:szCs w:val="20"/>
        </w:rPr>
        <w:t xml:space="preserve">May 15, 2026</w:t>
      </w:r>
    </w:p>
    <w:p>
      <w:pPr>
        <w:spacing w:after="0" w:before="0"/>
      </w:pPr>
      <w:r>
        <w:rPr>
          <w:rFonts w:ascii="Calibri" w:cs="Calibri" w:eastAsia="Calibri" w:hAnsi="Calibri"/>
          <w:sz w:val="10"/>
          <w:szCs w:val="10"/>
        </w:rPr>
        <w:t xml:space="preserve"/>
      </w:r>
    </w:p>
    <w:p>
      <w:pPr>
        <w:pBdr>
          <w:left w:val="single" w:color="1F7B52" w:sz="24" w:space="0"/>
        </w:pBdr>
        <w:shd w:fill="1F7B52" w:val="clear"/>
        <w:spacing w:after="100" w:before="240"/>
      </w:pP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Phase 2: </w:t>
      </w:r>
      <w:r>
        <w:rPr>
          <w:rFonts w:ascii="Calibri" w:cs="Calibri" w:eastAsia="Calibri" w:hAnsi="Calibri"/>
          <w:color w:val="FFFFFF"/>
          <w:sz w:val="24"/>
          <w:szCs w:val="24"/>
        </w:rPr>
        <w:t xml:space="preserve">Activity — Sales Plan (AI) + User Access Report</w:t>
      </w:r>
      <w:r>
        <w:rPr>
          <w:rFonts w:ascii="Calibri" w:cs="Calibri" w:eastAsia="Calibri" w:hAnsi="Calibri"/>
          <w:color w:val="DDDDDD"/>
          <w:sz w:val="20"/>
          <w:szCs w:val="20"/>
        </w:rPr>
        <w:t xml:space="preserve">  —  Weeks 3–7  |  May 18 – June 19, 2026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Activities: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Integrate Leaflet / OpenStreetMap into the existing Activities module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Implement radius-based nearby-client lookup from existing Accounts data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Build visit history analysis with 1/3/6/9/12 month windows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Implement Claude API calls for AI-generated “why not visited” reason summaries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Build frequently-visited clients view (month-wise frequency)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Implement nearby Importers / Exporters view using existing Lead and Account data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Build User Last System Access report within existing Reports module with filters and export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Unit testing and code review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Deliverables: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AI-enhanced Sales Plan screen with map and radius filter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Visit history and frequency analytics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Nearby Importers / Exporters view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User Last System Access report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Milestone Review: </w:t>
      </w:r>
      <w:r>
        <w:rPr>
          <w:rFonts w:ascii="Calibri" w:cs="Calibri" w:eastAsia="Calibri" w:hAnsi="Calibri"/>
          <w:b/>
          <w:bCs/>
          <w:color w:val="1E7145"/>
          <w:sz w:val="20"/>
          <w:szCs w:val="20"/>
        </w:rPr>
        <w:t xml:space="preserve">June 19, 2026</w:t>
      </w:r>
    </w:p>
    <w:p>
      <w:pPr>
        <w:spacing w:after="0" w:before="0"/>
      </w:pPr>
      <w:r>
        <w:rPr>
          <w:rFonts w:ascii="Calibri" w:cs="Calibri" w:eastAsia="Calibri" w:hAnsi="Calibri"/>
          <w:sz w:val="10"/>
          <w:szCs w:val="10"/>
        </w:rPr>
        <w:t xml:space="preserve"/>
      </w:r>
    </w:p>
    <w:p>
      <w:pPr>
        <w:pBdr>
          <w:left w:val="single" w:color="7B3EA5" w:sz="24" w:space="0"/>
        </w:pBdr>
        <w:shd w:fill="7B3EA5" w:val="clear"/>
        <w:spacing w:after="100" w:before="240"/>
      </w:pP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Phase 3: </w:t>
      </w:r>
      <w:r>
        <w:rPr>
          <w:rFonts w:ascii="Calibri" w:cs="Calibri" w:eastAsia="Calibri" w:hAnsi="Calibri"/>
          <w:color w:val="FFFFFF"/>
          <w:sz w:val="24"/>
          <w:szCs w:val="24"/>
        </w:rPr>
        <w:t xml:space="preserve">Quote Options (AI) + Rates Management (Location-Based)</w:t>
      </w:r>
      <w:r>
        <w:rPr>
          <w:rFonts w:ascii="Calibri" w:cs="Calibri" w:eastAsia="Calibri" w:hAnsi="Calibri"/>
          <w:color w:val="DDDDDD"/>
          <w:sz w:val="20"/>
          <w:szCs w:val="20"/>
        </w:rPr>
        <w:t xml:space="preserve">  —  Weeks 8–11  |  June 22 – July 17, 2026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Activities: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Analyse historical quote data patterns for origin/destination/commodity combinations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Build Quote Options AI panel (React) integrated into Direct, Transit, and Warehouse quote flows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Implement Claude API integration for generating option variants (fastest, economical, preferred)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Develop location-based rates lookup screen within the Rates module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Implement origin→destination rate retrieval across Air Export/Import and Sea FCL/LCL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Show historical rate trends for selected lanes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Integration testing across quote modes and rate types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Deliverables: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Quote Options AI panel integrated into quote creation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Location-based Rates lookup view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Historical rate trend display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Milestone Review: </w:t>
      </w:r>
      <w:r>
        <w:rPr>
          <w:rFonts w:ascii="Calibri" w:cs="Calibri" w:eastAsia="Calibri" w:hAnsi="Calibri"/>
          <w:b/>
          <w:bCs/>
          <w:color w:val="1E7145"/>
          <w:sz w:val="20"/>
          <w:szCs w:val="20"/>
        </w:rPr>
        <w:t xml:space="preserve">July 17, 2026</w:t>
      </w:r>
    </w:p>
    <w:p>
      <w:pPr>
        <w:spacing w:after="0" w:before="0"/>
      </w:pPr>
      <w:r>
        <w:rPr>
          <w:rFonts w:ascii="Calibri" w:cs="Calibri" w:eastAsia="Calibri" w:hAnsi="Calibri"/>
          <w:sz w:val="10"/>
          <w:szCs w:val="10"/>
        </w:rPr>
        <w:t xml:space="preserve"/>
      </w:r>
    </w:p>
    <w:p>
      <w:pPr>
        <w:pBdr>
          <w:left w:val="single" w:color="B85C1A" w:sz="24" w:space="0"/>
        </w:pBdr>
        <w:shd w:fill="B85C1A" w:val="clear"/>
        <w:spacing w:after="100" w:before="240"/>
      </w:pP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Phase 4: </w:t>
      </w:r>
      <w:r>
        <w:rPr>
          <w:rFonts w:ascii="Calibri" w:cs="Calibri" w:eastAsia="Calibri" w:hAnsi="Calibri"/>
          <w:color w:val="FFFFFF"/>
          <w:sz w:val="24"/>
          <w:szCs w:val="24"/>
        </w:rPr>
        <w:t xml:space="preserve">Shipping Route Management + Commodity Regulation</w:t>
      </w:r>
      <w:r>
        <w:rPr>
          <w:rFonts w:ascii="Calibri" w:cs="Calibri" w:eastAsia="Calibri" w:hAnsi="Calibri"/>
          <w:color w:val="DDDDDD"/>
          <w:sz w:val="20"/>
          <w:szCs w:val="20"/>
        </w:rPr>
        <w:t xml:space="preserve">  —  Weeks 12–17  |  July 20 – August 28, 2026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Activities: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Design and build Shipping Route Management module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Implement start→end location input with liner schedule and route retrieval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Build AI-driven extraction pipeline for liner portals (schedules, routes, local agent info)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Integrate generated route/schedule references into the existing Useful Links section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Build Commodity Regulation lookup screen with HS Code + country selection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Implement AI-driven retrieval from customs sites for regulations, certifications, requirements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Display results with readable summaries and source link attribution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Integrate Shipping Route data with the existing Quote module for quick reference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End-to-end integration testing across all six AI features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Deliverables: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Shipping Route Management module (with Useful Links integration)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Commodity Regulation lookup module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Full AI feature integration verified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Milestone Review: </w:t>
      </w:r>
      <w:r>
        <w:rPr>
          <w:rFonts w:ascii="Calibri" w:cs="Calibri" w:eastAsia="Calibri" w:hAnsi="Calibri"/>
          <w:b/>
          <w:bCs/>
          <w:color w:val="1E7145"/>
          <w:sz w:val="20"/>
          <w:szCs w:val="20"/>
        </w:rPr>
        <w:t xml:space="preserve">August 28, 2026</w:t>
      </w:r>
    </w:p>
    <w:p>
      <w:pPr>
        <w:spacing w:after="0" w:before="0"/>
      </w:pPr>
      <w:r>
        <w:rPr>
          <w:rFonts w:ascii="Calibri" w:cs="Calibri" w:eastAsia="Calibri" w:hAnsi="Calibri"/>
          <w:sz w:val="10"/>
          <w:szCs w:val="10"/>
        </w:rPr>
        <w:t xml:space="preserve"/>
      </w:r>
    </w:p>
    <w:p>
      <w:pPr>
        <w:pBdr>
          <w:left w:val="single" w:color="8B1A1A" w:sz="24" w:space="0"/>
        </w:pBdr>
        <w:shd w:fill="8B1A1A" w:val="clear"/>
        <w:spacing w:after="100" w:before="240"/>
      </w:pP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Phase 5: </w:t>
      </w:r>
      <w:r>
        <w:rPr>
          <w:rFonts w:ascii="Calibri" w:cs="Calibri" w:eastAsia="Calibri" w:hAnsi="Calibri"/>
          <w:color w:val="FFFFFF"/>
          <w:sz w:val="24"/>
          <w:szCs w:val="24"/>
        </w:rPr>
        <w:t xml:space="preserve">UAT, Refinement &amp; Deployment</w:t>
      </w:r>
      <w:r>
        <w:rPr>
          <w:rFonts w:ascii="Calibri" w:cs="Calibri" w:eastAsia="Calibri" w:hAnsi="Calibri"/>
          <w:color w:val="DDDDDD"/>
          <w:sz w:val="20"/>
          <w:szCs w:val="20"/>
        </w:rPr>
        <w:t xml:space="preserve">  —  Weeks 18–20  |  August 31 – September 18, 2026</w:t>
      </w:r>
    </w:p>
    <w:p>
      <w:pPr>
        <w:spacing w:after="40" w:before="8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Activities: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User Acceptance Testing with client stakeholders across all six AI features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Bug fixes and performance optimisations based on UAT feedback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Security review and penetration testing of new AI endpoints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Production deployment to https://crm.scanwellapps.com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Post-deployment smoke testing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Handover documentation and knowledge transfer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Final project sign-off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Deliverables: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UAT Sign-Off Report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Production Deployment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Technical Handover Documentation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Final Project Closure Report</w:t>
      </w:r>
    </w:p>
    <w:p>
      <w:pPr>
        <w:spacing w:after="4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Milestone Review: </w:t>
      </w:r>
      <w:r>
        <w:rPr>
          <w:rFonts w:ascii="Calibri" w:cs="Calibri" w:eastAsia="Calibri" w:hAnsi="Calibri"/>
          <w:b/>
          <w:bCs/>
          <w:color w:val="1E7145"/>
          <w:sz w:val="20"/>
          <w:szCs w:val="20"/>
        </w:rPr>
        <w:t xml:space="preserve">September 18, 2026 (Final Sign-Off)</w:t>
      </w:r>
    </w:p>
    <w:p>
      <w:pPr>
        <w:spacing w:after="0" w:before="0"/>
      </w:pPr>
      <w:r>
        <w:rPr>
          <w:rFonts w:ascii="Calibri" w:cs="Calibri" w:eastAsia="Calibri" w:hAnsi="Calibri"/>
          <w:sz w:val="10"/>
          <w:szCs w:val="10"/>
        </w:rPr>
        <w:t xml:space="preserve"/>
      </w:r>
    </w:p>
    <w:p>
      <w:pPr>
        <w:pBdr>
          <w:bottom w:val="single" w:color="2E75B6" w:sz="6" w:space="6"/>
        </w:pBdr>
        <w:spacing w:after="120" w:before="3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3.  Milestone Summary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800"/>
        <w:gridCol w:w="4480"/>
        <w:gridCol w:w="2000"/>
      </w:tblGrid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Milestone</w:t>
            </w:r>
          </w:p>
        </w:tc>
        <w:tc>
          <w:tcPr>
            <w:tcW w:type="dxa" w:w="4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Date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Architecture Complete</w:t>
            </w:r>
          </w:p>
        </w:tc>
        <w:tc>
          <w:tcPr>
            <w:tcW w:type="dxa" w:w="4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Design finalised, data sources catalogued, dev environment ready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May 15, 2026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7B52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M2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Sales Plan AI + Access Report Live</w:t>
            </w:r>
          </w:p>
        </w:tc>
        <w:tc>
          <w:tcPr>
            <w:tcW w:type="dxa" w:w="4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AI Sales Plan, visit analytics, and User Access report delivered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Jun 19, 2026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B3EA5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M3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Quote Options &amp; Rates Lookup Live</w:t>
            </w:r>
          </w:p>
        </w:tc>
        <w:tc>
          <w:tcPr>
            <w:tcW w:type="dxa" w:w="4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AI Quote Options panel and location-based Rates lookup delivered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Jul 17, 2026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85C1A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M4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Shipping Routes &amp; Regulations Live</w:t>
            </w:r>
          </w:p>
        </w:tc>
        <w:tc>
          <w:tcPr>
            <w:tcW w:type="dxa" w:w="4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Shipping Route Management and Commodity Regulation modules delivered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Aug 28, 2026</w:t>
            </w:r>
          </w:p>
        </w:tc>
      </w:tr>
      <w:t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B1A1A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M5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Production Release</w:t>
            </w:r>
          </w:p>
        </w:tc>
        <w:tc>
          <w:tcPr>
            <w:tcW w:type="dxa" w:w="4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All features live, UAT passed, project closed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Sep 18, 2026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sz w:val="10"/>
          <w:szCs w:val="10"/>
        </w:rPr>
        <w:t xml:space="preserve"/>
      </w:r>
    </w:p>
    <w:p>
      <w:pPr>
        <w:pBdr>
          <w:bottom w:val="single" w:color="2E75B6" w:sz="6" w:space="6"/>
        </w:pBdr>
        <w:spacing w:after="120" w:before="3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4.  Project Gantt Overview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400"/>
        <w:gridCol w:w="548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Weeks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Phase</w:t>
            </w:r>
          </w:p>
        </w:tc>
        <w:tc>
          <w:tcPr>
            <w:tcW w:type="dxa" w:w="5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Key Activities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1–2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Discovery &amp; Architecture</w:t>
            </w:r>
          </w:p>
        </w:tc>
        <w:tc>
          <w:tcPr>
            <w:tcW w:type="dxa" w:w="5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Audit, design, data source catalogue, env setup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3–4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Phase 2</w:t>
            </w:r>
          </w:p>
        </w:tc>
        <w:tc>
          <w:tcPr>
            <w:tcW w:type="dxa" w:w="5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Sales Plan map, radius lookup, visit analytics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5–6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Phase 2</w:t>
            </w:r>
          </w:p>
        </w:tc>
        <w:tc>
          <w:tcPr>
            <w:tcW w:type="dxa" w:w="5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AI reason summaries, Importers/Exporters view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7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Phase 2</w:t>
            </w:r>
          </w:p>
        </w:tc>
        <w:tc>
          <w:tcPr>
            <w:tcW w:type="dxa" w:w="5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User Last System Access report, Phase 2 testing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8–9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Phase 3</w:t>
            </w:r>
          </w:p>
        </w:tc>
        <w:tc>
          <w:tcPr>
            <w:tcW w:type="dxa" w:w="5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Quote Options AI panel across all quote modes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10–11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Phase 3</w:t>
            </w:r>
          </w:p>
        </w:tc>
        <w:tc>
          <w:tcPr>
            <w:tcW w:type="dxa" w:w="5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Location-based Rates lookup, trend view, testing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12–14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Phase 4</w:t>
            </w:r>
          </w:p>
        </w:tc>
        <w:tc>
          <w:tcPr>
            <w:tcW w:type="dxa" w:w="5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Shipping Route Management + liner extraction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15–16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Phase 4</w:t>
            </w:r>
          </w:p>
        </w:tc>
        <w:tc>
          <w:tcPr>
            <w:tcW w:type="dxa" w:w="5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Commodity Regulation lookup + customs sourcing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17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Phase 4</w:t>
            </w:r>
          </w:p>
        </w:tc>
        <w:tc>
          <w:tcPr>
            <w:tcW w:type="dxa" w:w="5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End-to-end integration testing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18–19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Phase 5</w:t>
            </w:r>
          </w:p>
        </w:tc>
        <w:tc>
          <w:tcPr>
            <w:tcW w:type="dxa" w:w="5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UAT, refinement, security review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20</w:t>
            </w:r>
          </w:p>
        </w:tc>
        <w:tc>
          <w:tcPr>
            <w:tcW w:type="dxa" w:w="3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Phase 5</w:t>
            </w:r>
          </w:p>
        </w:tc>
        <w:tc>
          <w:tcPr>
            <w:tcW w:type="dxa" w:w="5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Production deployment, handover, sign-off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sz w:val="10"/>
          <w:szCs w:val="10"/>
        </w:rPr>
        <w:t xml:space="preserve"/>
      </w:r>
    </w:p>
    <w:p>
      <w:pPr>
        <w:pBdr>
          <w:bottom w:val="single" w:color="2E75B6" w:sz="6" w:space="6"/>
        </w:pBdr>
        <w:spacing w:after="120" w:before="3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5.  Risk Register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200"/>
        <w:gridCol w:w="1200"/>
        <w:gridCol w:w="4180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Risk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Likelihood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Impact</w:t>
            </w:r>
          </w:p>
        </w:tc>
        <w:tc>
          <w:tcPr>
            <w:tcW w:type="dxa" w:w="4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Mitigation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Liner portals change structure or block scraping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B1A1A"/>
                <w:sz w:val="19"/>
                <w:szCs w:val="19"/>
              </w:rPr>
              <w:t xml:space="preserve">High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B1A1A"/>
                <w:sz w:val="19"/>
                <w:szCs w:val="19"/>
              </w:rPr>
              <w:t xml:space="preserve">High</w:t>
            </w:r>
          </w:p>
        </w:tc>
        <w:tc>
          <w:tcPr>
            <w:tcW w:type="dxa" w:w="4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Design modular extractors; support multiple liners; manual fallback upload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Customs site data for some HS Codes/countries is sparse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B5E00"/>
                <w:sz w:val="19"/>
                <w:szCs w:val="19"/>
              </w:rPr>
              <w:t xml:space="preserve">Medium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B5E00"/>
                <w:sz w:val="19"/>
                <w:szCs w:val="19"/>
              </w:rPr>
              <w:t xml:space="preserve">Medium</w:t>
            </w:r>
          </w:p>
        </w:tc>
        <w:tc>
          <w:tcPr>
            <w:tcW w:type="dxa" w:w="4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Clearly flag “no data” cases; always show source links for verification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Claude API rate limits during peak usage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E7145"/>
                <w:sz w:val="19"/>
                <w:szCs w:val="19"/>
              </w:rPr>
              <w:t xml:space="preserve">Low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B5E00"/>
                <w:sz w:val="19"/>
                <w:szCs w:val="19"/>
              </w:rPr>
              <w:t xml:space="preserve">Medium</w:t>
            </w:r>
          </w:p>
        </w:tc>
        <w:tc>
          <w:tcPr>
            <w:tcW w:type="dxa" w:w="4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Implement request queuing and response caching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Scope creep from additional stakeholder requests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B5E00"/>
                <w:sz w:val="19"/>
                <w:szCs w:val="19"/>
              </w:rPr>
              <w:t xml:space="preserve">Medium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CE4D6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8B1A1A"/>
                <w:sz w:val="19"/>
                <w:szCs w:val="19"/>
              </w:rPr>
              <w:t xml:space="preserve">High</w:t>
            </w:r>
          </w:p>
        </w:tc>
        <w:tc>
          <w:tcPr>
            <w:tcW w:type="dxa" w:w="4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Enforce formal change request process against agreed scope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UAT delays due to stakeholder availability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B5E00"/>
                <w:sz w:val="19"/>
                <w:szCs w:val="19"/>
              </w:rPr>
              <w:t xml:space="preserve">Medium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7B5E00"/>
                <w:sz w:val="19"/>
                <w:szCs w:val="19"/>
              </w:rPr>
              <w:t xml:space="preserve">Medium</w:t>
            </w:r>
          </w:p>
        </w:tc>
        <w:tc>
          <w:tcPr>
            <w:tcW w:type="dxa" w:w="41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Schedule UAT sessions in advance; keep Phase 5 buffer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sz w:val="10"/>
          <w:szCs w:val="10"/>
        </w:rPr>
        <w:t xml:space="preserve"/>
      </w:r>
    </w:p>
    <w:p>
      <w:pPr>
        <w:pBdr>
          <w:bottom w:val="single" w:color="2E75B6" w:sz="6" w:space="6"/>
        </w:pBdr>
        <w:spacing w:after="120" w:before="3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6.  Payment Schedule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4480"/>
        <w:gridCol w:w="4400"/>
      </w:tblGrid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4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Payment Trigger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Amount (LKR)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M0</w:t>
            </w:r>
          </w:p>
        </w:tc>
        <w:tc>
          <w:tcPr>
            <w:tcW w:type="dxa" w:w="4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Signed agreement and scope approval (Project Kickoff)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LKR 104,000  (20%)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7B52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M2</w:t>
            </w:r>
          </w:p>
        </w:tc>
        <w:tc>
          <w:tcPr>
            <w:tcW w:type="dxa" w:w="4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Sign-off on Sales Plan AI + User Access Report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LKR 130,000  (25%)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7B3EA5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M3</w:t>
            </w:r>
          </w:p>
        </w:tc>
        <w:tc>
          <w:tcPr>
            <w:tcW w:type="dxa" w:w="4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Sign-off on Quote Options + Rates Lookup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LKR 104,000  (20%)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B85C1A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M4</w:t>
            </w:r>
          </w:p>
        </w:tc>
        <w:tc>
          <w:tcPr>
            <w:tcW w:type="dxa" w:w="4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2CC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Sign-off on Shipping Routes + Commodity Regulation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LKR 130,000  (25%)</w:t>
            </w:r>
          </w:p>
        </w:tc>
      </w:tr>
      <w:tr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8B1A1A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M5</w:t>
            </w:r>
          </w:p>
        </w:tc>
        <w:tc>
          <w:tcPr>
            <w:tcW w:type="dxa" w:w="4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Production deployment and handover (Final Sign-Off)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LKR 52,000  (10%)</w:t>
            </w:r>
          </w:p>
        </w:tc>
      </w:tr>
      <w:tr>
        <w:tc>
          <w:tcPr>
            <w:tcW w:type="dxa" w:w="5680"/>
            <w:gridSpan w:val="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TOTAL</w:t>
            </w:r>
          </w:p>
        </w:tc>
        <w:tc>
          <w:tcPr>
            <w:tcW w:type="dxa" w:w="4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LKR 520,000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sz w:val="10"/>
          <w:szCs w:val="10"/>
        </w:rPr>
        <w:t xml:space="preserve"/>
      </w:r>
    </w:p>
    <w:p>
      <w:pPr>
        <w:pBdr>
          <w:bottom w:val="single" w:color="2E75B6" w:sz="6" w:space="6"/>
        </w:pBdr>
        <w:spacing w:after="120" w:before="3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7.  Communication Plan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40"/>
        <w:gridCol w:w="504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tcW w:type="dxa" w:w="2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Frequency</w:t>
            </w:r>
          </w:p>
        </w:tc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Channel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Progress Update</w:t>
            </w:r>
          </w:p>
        </w:tc>
        <w:tc>
          <w:tcPr>
            <w:tcW w:type="dxa" w:w="2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Weekly</w:t>
            </w:r>
          </w:p>
        </w:tc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Email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Milestone Review</w:t>
            </w:r>
          </w:p>
        </w:tc>
        <w:tc>
          <w:tcPr>
            <w:tcW w:type="dxa" w:w="2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Per milestone</w:t>
            </w:r>
          </w:p>
        </w:tc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Meeting / Video call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Bug / Issue Reporting</w:t>
            </w:r>
          </w:p>
        </w:tc>
        <w:tc>
          <w:tcPr>
            <w:tcW w:type="dxa" w:w="2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As needed</w:t>
            </w:r>
          </w:p>
        </w:tc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Shared issue tracker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Final Presentation</w:t>
            </w:r>
          </w:p>
        </w:tc>
        <w:tc>
          <w:tcPr>
            <w:tcW w:type="dxa" w:w="2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End of project</w:t>
            </w:r>
          </w:p>
        </w:tc>
        <w:tc>
          <w:tcPr>
            <w:tcW w:type="dxa" w:w="5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3F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>On-site / Video call</w:t>
            </w:r>
          </w:p>
        </w:tc>
      </w:tr>
    </w:tbl>
    <w:p>
      <w:pPr>
        <w:spacing w:after="0" w:before="0"/>
      </w:pPr>
      <w:r>
        <w:rPr>
          <w:rFonts w:ascii="Calibri" w:cs="Calibri" w:eastAsia="Calibri" w:hAnsi="Calibri"/>
          <w:sz w:val="10"/>
          <w:szCs w:val="10"/>
        </w:rPr>
        <w:t xml:space="preserve"/>
      </w:r>
    </w:p>
    <w:p>
      <w:pPr>
        <w:pBdr>
          <w:bottom w:val="single" w:color="2E75B6" w:sz="6" w:space="6"/>
        </w:pBdr>
        <w:spacing w:after="120" w:before="300"/>
      </w:pPr>
      <w:r>
        <w:rPr>
          <w:rFonts w:ascii="Calibri" w:cs="Calibri" w:eastAsia="Calibri" w:hAnsi="Calibri"/>
          <w:b/>
          <w:bCs/>
          <w:color w:val="1F4E79"/>
          <w:sz w:val="32"/>
          <w:szCs w:val="32"/>
        </w:rPr>
        <w:t xml:space="preserve">8.  Sign-Off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3060"/>
        <w:gridCol w:w="2500"/>
        <w:gridCol w:w="2000"/>
      </w:tblGrid>
      <w:tr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Name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Signature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4E79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Date</w:t>
            </w:r>
          </w:p>
        </w:tc>
      </w:tr>
      <w:tr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Client Representative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/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4F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19"/>
                <w:szCs w:val="19"/>
              </w:rPr>
              <w:t xml:space="preserve">Project Lead</w:t>
            </w:r>
          </w:p>
        </w:tc>
        <w:tc>
          <w:tcPr>
            <w:tcW w:type="dxa" w:w="30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/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A1A2E"/>
                <w:sz w:val="19"/>
                <w:szCs w:val="19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spacing w:before="80"/>
      <w:jc w:val="right"/>
    </w:pPr>
    <w:r>
      <w:rPr>
        <w:rFonts w:ascii="Calibri" w:cs="Calibri" w:eastAsia="Calibri" w:hAnsi="Calibri"/>
        <w:color w:val="888888"/>
        <w:sz w:val="18"/>
        <w:szCs w:val="18"/>
      </w:rPr>
      <w:t xml:space="preserve">Confidential  —  Page </w:t>
    </w:r>
    <w:r>
      <w:rPr>
        <w:rFonts w:ascii="Calibri" w:cs="Calibri" w:eastAsia="Calibri" w:hAnsi="Calibri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888888"/>
        <w:sz w:val="18"/>
        <w:szCs w:val="18"/>
      </w:rPr>
      <w:t xml:space="preserve"> of </w:t>
    </w:r>
    <w:r>
      <w:rPr>
        <w:rFonts w:ascii="Calibri" w:cs="Calibri" w:eastAsia="Calibri" w:hAnsi="Calibri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4E79" w:sz="6" w:space="6"/>
      </w:pBdr>
      <w:spacing w:after="80"/>
    </w:pPr>
    <w:r>
      <w:rPr>
        <w:rFonts w:ascii="Calibri" w:cs="Calibri" w:eastAsia="Calibri" w:hAnsi="Calibri"/>
        <w:b/>
        <w:bCs/>
        <w:color w:val="1F4E79"/>
        <w:sz w:val="20"/>
        <w:szCs w:val="20"/>
      </w:rPr>
      <w:t xml:space="preserve">ScanWell (Pvt) Ltd</w:t>
    </w:r>
    <w:r>
      <w:rPr>
        <w:rFonts w:ascii="Calibri" w:cs="Calibri" w:eastAsia="Calibri" w:hAnsi="Calibri"/>
        <w:color w:val="666666"/>
        <w:sz w:val="20"/>
        <w:szCs w:val="20"/>
      </w:rPr>
      <w:t xml:space="preserve">   —   AI Integration Project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2026-04-23T00:08:25.522Z</dcterms:created>
  <dcterms:modified xsi:type="dcterms:W3CDTF">2026-04-23T00:08:25.522Z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