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rFonts w:ascii="Calibri" w:cs="Calibri" w:eastAsia="Calibri" w:hAnsi="Calibri"/>
          <w:b/>
          <w:bCs/>
          <w:color w:val="1F4E79"/>
          <w:sz w:val="52"/>
          <w:szCs w:val="52"/>
        </w:rPr>
        <w:t xml:space="preserve">ScanWell CRM</w:t>
      </w:r>
    </w:p>
    <w:p>
      <w:pPr>
        <w:spacing w:after="80" w:before="0"/>
      </w:pPr>
      <w:r>
        <w:rPr>
          <w:rFonts w:ascii="Calibri" w:cs="Calibri" w:eastAsia="Calibri" w:hAnsi="Calibri"/>
          <w:color w:val="2E75B6"/>
          <w:sz w:val="32"/>
          <w:szCs w:val="32"/>
        </w:rPr>
        <w:t xml:space="preserve">AI Integration — Project Scope of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3240"/>
        <w:gridCol w:w="2400"/>
        <w:gridCol w:w="204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libri" w:cs="Calibri" w:eastAsia="Calibri" w:hAnsi="Calibri"/>
                <w:b/>
                <w:bCs/>
                <w:color w:val="1F4E79"/>
                <w:sz w:val="18"/>
                <w:szCs w:val="18"/>
              </w:rPr>
              <w:t xml:space="preserve">Version</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color w:val="1A1A2E"/>
                <w:sz w:val="18"/>
                <w:szCs w:val="18"/>
              </w:rPr>
              <w:t xml:space="preserve">1.0</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libri" w:cs="Calibri" w:eastAsia="Calibri" w:hAnsi="Calibri"/>
                <w:b/>
                <w:bCs/>
                <w:color w:val="1F4E79"/>
                <w:sz w:val="18"/>
                <w:szCs w:val="18"/>
              </w:rPr>
              <w:t xml:space="preserve">Date</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color w:val="1A1A2E"/>
                <w:sz w:val="18"/>
                <w:szCs w:val="18"/>
              </w:rPr>
              <w:t xml:space="preserve">April 2, 2026</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libri" w:cs="Calibri" w:eastAsia="Calibri" w:hAnsi="Calibri"/>
                <w:b/>
                <w:bCs/>
                <w:color w:val="1F4E79"/>
                <w:sz w:val="18"/>
                <w:szCs w:val="18"/>
              </w:rPr>
              <w:t xml:space="preserve">Prepared For</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color w:val="1A1A2E"/>
                <w:sz w:val="18"/>
                <w:szCs w:val="18"/>
              </w:rPr>
              <w:t xml:space="preserve">ScanWell (Pvt) Ltd</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libri" w:cs="Calibri" w:eastAsia="Calibri" w:hAnsi="Calibri"/>
                <w:b/>
                <w:bCs/>
                <w:color w:val="1F4E79"/>
                <w:sz w:val="18"/>
                <w:szCs w:val="18"/>
              </w:rPr>
              <w:t xml:space="preserve">Project Budget</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bCs/>
                <w:color w:val="2E75B6"/>
                <w:sz w:val="18"/>
                <w:szCs w:val="18"/>
              </w:rPr>
              <w:t xml:space="preserve">LKR 520,000</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libri" w:cs="Calibri" w:eastAsia="Calibri" w:hAnsi="Calibri"/>
                <w:b/>
                <w:bCs/>
                <w:color w:val="1F4E79"/>
                <w:sz w:val="18"/>
                <w:szCs w:val="18"/>
              </w:rPr>
              <w:t xml:space="preserve">Document Type</w:t>
            </w:r>
          </w:p>
        </w:tc>
        <w:tc>
          <w:tcPr>
            <w:tcW w:type="dxa" w:w="7680"/>
            <w:gridSpan w:val="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color w:val="1A1A2E"/>
                <w:sz w:val="18"/>
                <w:szCs w:val="18"/>
              </w:rPr>
              <w:t xml:space="preserve">Project Scope of Work</w:t>
            </w:r>
          </w:p>
        </w:tc>
      </w:tr>
    </w:tbl>
    <w:p>
      <w:pPr>
        <w:spacing w:after="0" w:before="0"/>
      </w:pPr>
      <w:r>
        <w:rPr>
          <w:rFonts w:ascii="Calibri" w:cs="Calibri" w:eastAsia="Calibri" w:hAnsi="Calibri"/>
          <w:sz w:val="10"/>
          <w:szCs w:val="10"/>
        </w:rPr>
        <w:t xml:space="preserve"/>
      </w:r>
    </w:p>
    <w:p>
      <w:pPr>
        <w:pBdr>
          <w:bottom w:val="single" w:color="2E75B6" w:sz="6" w:space="6"/>
        </w:pBdr>
        <w:spacing w:after="120" w:before="320"/>
      </w:pPr>
      <w:r>
        <w:rPr>
          <w:rFonts w:ascii="Calibri" w:cs="Calibri" w:eastAsia="Calibri" w:hAnsi="Calibri"/>
          <w:b/>
          <w:bCs/>
          <w:color w:val="1F4E79"/>
          <w:sz w:val="32"/>
          <w:szCs w:val="32"/>
        </w:rPr>
        <w:t xml:space="preserve">1.  Project Overview</w:t>
      </w:r>
    </w:p>
    <w:p>
      <w:pPr>
        <w:spacing w:after="60" w:before="60"/>
      </w:pPr>
      <w:r>
        <w:rPr>
          <w:rFonts w:ascii="Calibri" w:cs="Calibri" w:eastAsia="Calibri" w:hAnsi="Calibri"/>
          <w:b w:val="false"/>
          <w:bCs w:val="false"/>
          <w:color w:val="1A1A2E"/>
          <w:sz w:val="20"/>
          <w:szCs w:val="20"/>
        </w:rPr>
        <w:t xml:space="preserve">ScanWell CRM is an enterprise-grade Customer Relationship Management system built for the logistics and freight forwarding industry. The platform manages end-to-end sales workflows including leads, multi-modal quotes (Air Export/Import, Sea FCL/LCL, Warehouse), invoices, accounts, rate management, and HR operations.</w:t>
      </w:r>
    </w:p>
    <w:p>
      <w:pPr>
        <w:spacing w:after="0" w:before="0"/>
      </w:pPr>
      <w:r>
        <w:rPr>
          <w:rFonts w:ascii="Calibri" w:cs="Calibri" w:eastAsia="Calibri" w:hAnsi="Calibri"/>
          <w:sz w:val="10"/>
          <w:szCs w:val="10"/>
        </w:rPr>
        <w:t xml:space="preserve"/>
      </w:r>
    </w:p>
    <w:p>
      <w:pPr>
        <w:spacing w:after="60" w:before="60"/>
      </w:pPr>
      <w:r>
        <w:rPr>
          <w:rFonts w:ascii="Calibri" w:cs="Calibri" w:eastAsia="Calibri" w:hAnsi="Calibri"/>
          <w:b w:val="false"/>
          <w:bCs w:val="false"/>
          <w:color w:val="1A1A2E"/>
          <w:sz w:val="20"/>
          <w:szCs w:val="20"/>
        </w:rPr>
        <w:t xml:space="preserve">This document defines the scope of work for integrating Artificial Intelligence capabilities into the existing ScanWell CRM platform to improve sales efficiency, operational accuracy, and decision-making across all business functions.</w:t>
      </w:r>
    </w:p>
    <w:p>
      <w:pPr>
        <w:spacing w:after="0" w:before="0"/>
      </w:pPr>
      <w:r>
        <w:rPr>
          <w:rFonts w:ascii="Calibri" w:cs="Calibri" w:eastAsia="Calibri" w:hAnsi="Calibri"/>
          <w:sz w:val="10"/>
          <w:szCs w:val="10"/>
        </w:rPr>
        <w:t xml:space="preserve"/>
      </w:r>
    </w:p>
    <w:p>
      <w:pPr>
        <w:pBdr>
          <w:bottom w:val="single" w:color="2E75B6" w:sz="6" w:space="6"/>
        </w:pBdr>
        <w:spacing w:after="120" w:before="320"/>
      </w:pPr>
      <w:r>
        <w:rPr>
          <w:rFonts w:ascii="Calibri" w:cs="Calibri" w:eastAsia="Calibri" w:hAnsi="Calibri"/>
          <w:b/>
          <w:bCs/>
          <w:color w:val="1F4E79"/>
          <w:sz w:val="32"/>
          <w:szCs w:val="32"/>
        </w:rPr>
        <w:t xml:space="preserve">2.  Project Objectives</w:t>
      </w:r>
    </w:p>
    <w:p>
      <w:pPr>
        <w:pStyle w:val="ListParagraph"/>
        <w:numPr>
          <w:ilvl w:val="0"/>
          <w:numId w:val="2"/>
        </w:numPr>
        <w:spacing w:after="40" w:before="40"/>
      </w:pPr>
      <w:r>
        <w:rPr>
          <w:rFonts w:ascii="Calibri" w:cs="Calibri" w:eastAsia="Calibri" w:hAnsi="Calibri"/>
          <w:color w:val="1A1A2E"/>
          <w:sz w:val="20"/>
          <w:szCs w:val="20"/>
        </w:rPr>
        <w:t xml:space="preserve">Integrate AI-powered insights to accelerate lead conversion and sales closure</w:t>
      </w:r>
    </w:p>
    <w:p>
      <w:pPr>
        <w:pStyle w:val="ListParagraph"/>
        <w:numPr>
          <w:ilvl w:val="0"/>
          <w:numId w:val="2"/>
        </w:numPr>
        <w:spacing w:after="40" w:before="40"/>
      </w:pPr>
      <w:r>
        <w:rPr>
          <w:rFonts w:ascii="Calibri" w:cs="Calibri" w:eastAsia="Calibri" w:hAnsi="Calibri"/>
          <w:color w:val="1A1A2E"/>
          <w:sz w:val="20"/>
          <w:szCs w:val="20"/>
        </w:rPr>
        <w:t xml:space="preserve">Automate repetitive data entry and document generation tasks</w:t>
      </w:r>
    </w:p>
    <w:p>
      <w:pPr>
        <w:pStyle w:val="ListParagraph"/>
        <w:numPr>
          <w:ilvl w:val="0"/>
          <w:numId w:val="2"/>
        </w:numPr>
        <w:spacing w:after="40" w:before="40"/>
      </w:pPr>
      <w:r>
        <w:rPr>
          <w:rFonts w:ascii="Calibri" w:cs="Calibri" w:eastAsia="Calibri" w:hAnsi="Calibri"/>
          <w:color w:val="1A1A2E"/>
          <w:sz w:val="20"/>
          <w:szCs w:val="20"/>
        </w:rPr>
        <w:t xml:space="preserve">Provide predictive analytics for sales forecasting and target planning</w:t>
      </w:r>
    </w:p>
    <w:p>
      <w:pPr>
        <w:pStyle w:val="ListParagraph"/>
        <w:numPr>
          <w:ilvl w:val="0"/>
          <w:numId w:val="2"/>
        </w:numPr>
        <w:spacing w:after="40" w:before="40"/>
      </w:pPr>
      <w:r>
        <w:rPr>
          <w:rFonts w:ascii="Calibri" w:cs="Calibri" w:eastAsia="Calibri" w:hAnsi="Calibri"/>
          <w:color w:val="1A1A2E"/>
          <w:sz w:val="20"/>
          <w:szCs w:val="20"/>
        </w:rPr>
        <w:t xml:space="preserve">Enhance the quote generation workflow with intelligent rate recommendations</w:t>
      </w:r>
    </w:p>
    <w:p>
      <w:pPr>
        <w:pStyle w:val="ListParagraph"/>
        <w:numPr>
          <w:ilvl w:val="0"/>
          <w:numId w:val="2"/>
        </w:numPr>
        <w:spacing w:after="40" w:before="40"/>
      </w:pPr>
      <w:r>
        <w:rPr>
          <w:rFonts w:ascii="Calibri" w:cs="Calibri" w:eastAsia="Calibri" w:hAnsi="Calibri"/>
          <w:color w:val="1A1A2E"/>
          <w:sz w:val="20"/>
          <w:szCs w:val="20"/>
        </w:rPr>
        <w:t xml:space="preserve">Introduce an internal AI Assistant to support day-to-day operations</w:t>
      </w:r>
    </w:p>
    <w:p>
      <w:pPr>
        <w:spacing w:after="0" w:before="0"/>
      </w:pPr>
      <w:r>
        <w:rPr>
          <w:rFonts w:ascii="Calibri" w:cs="Calibri" w:eastAsia="Calibri" w:hAnsi="Calibri"/>
          <w:sz w:val="10"/>
          <w:szCs w:val="10"/>
        </w:rPr>
        <w:t xml:space="preserve"/>
      </w:r>
    </w:p>
    <w:p>
      <w:pPr>
        <w:pBdr>
          <w:bottom w:val="single" w:color="2E75B6" w:sz="6" w:space="6"/>
        </w:pBdr>
        <w:spacing w:after="120" w:before="320"/>
      </w:pPr>
      <w:r>
        <w:rPr>
          <w:rFonts w:ascii="Calibri" w:cs="Calibri" w:eastAsia="Calibri" w:hAnsi="Calibri"/>
          <w:b/>
          <w:bCs/>
          <w:color w:val="1F4E79"/>
          <w:sz w:val="32"/>
          <w:szCs w:val="32"/>
        </w:rPr>
        <w:t xml:space="preserve">3.  Scope of Work</w:t>
      </w:r>
    </w:p>
    <w:p>
      <w:pPr>
        <w:spacing w:after="80" w:before="240"/>
      </w:pPr>
      <w:r>
        <w:rPr>
          <w:rFonts w:ascii="Calibri" w:cs="Calibri" w:eastAsia="Calibri" w:hAnsi="Calibri"/>
          <w:b/>
          <w:bCs/>
          <w:color w:val="2E75B6"/>
          <w:sz w:val="24"/>
          <w:szCs w:val="24"/>
        </w:rPr>
        <w:t xml:space="preserve">3.1  AI-Powered Lead Scoring &amp; Prioritization</w:t>
      </w:r>
    </w:p>
    <w:p>
      <w:pPr>
        <w:pStyle w:val="ListParagraph"/>
        <w:numPr>
          <w:ilvl w:val="0"/>
          <w:numId w:val="2"/>
        </w:numPr>
        <w:spacing w:after="40" w:before="40"/>
      </w:pPr>
      <w:r>
        <w:rPr>
          <w:rFonts w:ascii="Calibri" w:cs="Calibri" w:eastAsia="Calibri" w:hAnsi="Calibri"/>
          <w:color w:val="1A1A2E"/>
          <w:sz w:val="20"/>
          <w:szCs w:val="20"/>
        </w:rPr>
        <w:t xml:space="preserve">Implement a machine learning model that scores and ranks incoming leads based on historical conversion data</w:t>
      </w:r>
    </w:p>
    <w:p>
      <w:pPr>
        <w:pStyle w:val="ListParagraph"/>
        <w:numPr>
          <w:ilvl w:val="0"/>
          <w:numId w:val="2"/>
        </w:numPr>
        <w:spacing w:after="40" w:before="40"/>
      </w:pPr>
      <w:r>
        <w:rPr>
          <w:rFonts w:ascii="Calibri" w:cs="Calibri" w:eastAsia="Calibri" w:hAnsi="Calibri"/>
          <w:color w:val="1A1A2E"/>
          <w:sz w:val="20"/>
          <w:szCs w:val="20"/>
        </w:rPr>
        <w:t xml:space="preserve">Integrate lead score display within the Lead Management module</w:t>
      </w:r>
    </w:p>
    <w:p>
      <w:pPr>
        <w:pStyle w:val="ListParagraph"/>
        <w:numPr>
          <w:ilvl w:val="0"/>
          <w:numId w:val="2"/>
        </w:numPr>
        <w:spacing w:after="40" w:before="40"/>
      </w:pPr>
      <w:r>
        <w:rPr>
          <w:rFonts w:ascii="Calibri" w:cs="Calibri" w:eastAsia="Calibri" w:hAnsi="Calibri"/>
          <w:color w:val="1A1A2E"/>
          <w:sz w:val="20"/>
          <w:szCs w:val="20"/>
        </w:rPr>
        <w:t xml:space="preserve">Auto-prioritize leads in the pipeline view based on calculated score</w:t>
      </w:r>
    </w:p>
    <w:p>
      <w:pPr>
        <w:pStyle w:val="ListParagraph"/>
        <w:numPr>
          <w:ilvl w:val="0"/>
          <w:numId w:val="2"/>
        </w:numPr>
        <w:spacing w:after="40" w:before="40"/>
      </w:pPr>
      <w:r>
        <w:rPr>
          <w:rFonts w:ascii="Calibri" w:cs="Calibri" w:eastAsia="Calibri" w:hAnsi="Calibri"/>
          <w:color w:val="1A1A2E"/>
          <w:sz w:val="20"/>
          <w:szCs w:val="20"/>
        </w:rPr>
        <w:t xml:space="preserve">Smart lead assignment recommendations based on sales representative performance patterns</w:t>
      </w:r>
    </w:p>
    <w:p>
      <w:pPr>
        <w:spacing w:after="60" w:before="60"/>
      </w:pPr>
      <w:r>
        <w:rPr>
          <w:rFonts w:ascii="Calibri" w:cs="Calibri" w:eastAsia="Calibri" w:hAnsi="Calibri"/>
          <w:b/>
          <w:bCs/>
          <w:color w:val="1A1A2E"/>
          <w:sz w:val="20"/>
          <w:szCs w:val="20"/>
        </w:rPr>
        <w:t xml:space="preserve">Deliverable: Lead scoring engine integrated into existing Leads module with visual priority indicators.</w:t>
      </w:r>
    </w:p>
    <w:p>
      <w:pPr>
        <w:spacing w:after="0" w:before="0"/>
      </w:pPr>
      <w:r>
        <w:rPr>
          <w:rFonts w:ascii="Calibri" w:cs="Calibri" w:eastAsia="Calibri" w:hAnsi="Calibri"/>
          <w:sz w:val="10"/>
          <w:szCs w:val="10"/>
        </w:rPr>
        <w:t xml:space="preserve"/>
      </w:r>
    </w:p>
    <w:p>
      <w:pPr>
        <w:spacing w:after="80" w:before="240"/>
      </w:pPr>
      <w:r>
        <w:rPr>
          <w:rFonts w:ascii="Calibri" w:cs="Calibri" w:eastAsia="Calibri" w:hAnsi="Calibri"/>
          <w:b/>
          <w:bCs/>
          <w:color w:val="2E75B6"/>
          <w:sz w:val="24"/>
          <w:szCs w:val="24"/>
        </w:rPr>
        <w:t xml:space="preserve">3.2  Intelligent Quote Recommendation Engine</w:t>
      </w:r>
    </w:p>
    <w:p>
      <w:pPr>
        <w:pStyle w:val="ListParagraph"/>
        <w:numPr>
          <w:ilvl w:val="0"/>
          <w:numId w:val="2"/>
        </w:numPr>
        <w:spacing w:after="40" w:before="40"/>
      </w:pPr>
      <w:r>
        <w:rPr>
          <w:rFonts w:ascii="Calibri" w:cs="Calibri" w:eastAsia="Calibri" w:hAnsi="Calibri"/>
          <w:color w:val="1A1A2E"/>
          <w:sz w:val="20"/>
          <w:szCs w:val="20"/>
        </w:rPr>
        <w:t xml:space="preserve">Analyze historical quote data to suggest optimal rate ranges for new quotes</w:t>
      </w:r>
    </w:p>
    <w:p>
      <w:pPr>
        <w:pStyle w:val="ListParagraph"/>
        <w:numPr>
          <w:ilvl w:val="0"/>
          <w:numId w:val="2"/>
        </w:numPr>
        <w:spacing w:after="40" w:before="40"/>
      </w:pPr>
      <w:r>
        <w:rPr>
          <w:rFonts w:ascii="Calibri" w:cs="Calibri" w:eastAsia="Calibri" w:hAnsi="Calibri"/>
          <w:color w:val="1A1A2E"/>
          <w:sz w:val="20"/>
          <w:szCs w:val="20"/>
        </w:rPr>
        <w:t xml:space="preserve">Smart auto-fill of frequently used quote parameters (origin, destination, commodity type)</w:t>
      </w:r>
    </w:p>
    <w:p>
      <w:pPr>
        <w:pStyle w:val="ListParagraph"/>
        <w:numPr>
          <w:ilvl w:val="0"/>
          <w:numId w:val="2"/>
        </w:numPr>
        <w:spacing w:after="40" w:before="40"/>
      </w:pPr>
      <w:r>
        <w:rPr>
          <w:rFonts w:ascii="Calibri" w:cs="Calibri" w:eastAsia="Calibri" w:hAnsi="Calibri"/>
          <w:color w:val="1A1A2E"/>
          <w:sz w:val="20"/>
          <w:szCs w:val="20"/>
        </w:rPr>
        <w:t xml:space="preserve">Flag anomalous rates that deviate significantly from historical averages</w:t>
      </w:r>
    </w:p>
    <w:p>
      <w:pPr>
        <w:pStyle w:val="ListParagraph"/>
        <w:numPr>
          <w:ilvl w:val="0"/>
          <w:numId w:val="2"/>
        </w:numPr>
        <w:spacing w:after="40" w:before="40"/>
      </w:pPr>
      <w:r>
        <w:rPr>
          <w:rFonts w:ascii="Calibri" w:cs="Calibri" w:eastAsia="Calibri" w:hAnsi="Calibri"/>
          <w:color w:val="1A1A2E"/>
          <w:sz w:val="20"/>
          <w:szCs w:val="20"/>
        </w:rPr>
        <w:t xml:space="preserve">Recommendation panel integrated into quote creation workflow (Direct, Transit, Warehouse modes)</w:t>
      </w:r>
    </w:p>
    <w:p>
      <w:pPr>
        <w:spacing w:after="60" w:before="60"/>
      </w:pPr>
      <w:r>
        <w:rPr>
          <w:rFonts w:ascii="Calibri" w:cs="Calibri" w:eastAsia="Calibri" w:hAnsi="Calibri"/>
          <w:b/>
          <w:bCs/>
          <w:color w:val="1A1A2E"/>
          <w:sz w:val="20"/>
          <w:szCs w:val="20"/>
        </w:rPr>
        <w:t xml:space="preserve">Deliverable: Quote recommendation sidebar embedded within existing quote forms.</w:t>
      </w:r>
    </w:p>
    <w:p>
      <w:pPr>
        <w:spacing w:after="0" w:before="0"/>
      </w:pPr>
      <w:r>
        <w:rPr>
          <w:rFonts w:ascii="Calibri" w:cs="Calibri" w:eastAsia="Calibri" w:hAnsi="Calibri"/>
          <w:sz w:val="10"/>
          <w:szCs w:val="10"/>
        </w:rPr>
        <w:t xml:space="preserve"/>
      </w:r>
    </w:p>
    <w:p>
      <w:pPr>
        <w:spacing w:after="80" w:before="240"/>
      </w:pPr>
      <w:r>
        <w:rPr>
          <w:rFonts w:ascii="Calibri" w:cs="Calibri" w:eastAsia="Calibri" w:hAnsi="Calibri"/>
          <w:b/>
          <w:bCs/>
          <w:color w:val="2E75B6"/>
          <w:sz w:val="24"/>
          <w:szCs w:val="24"/>
        </w:rPr>
        <w:t xml:space="preserve">3.3  AI Sales Forecasting Dashboard</w:t>
      </w:r>
    </w:p>
    <w:p>
      <w:pPr>
        <w:pStyle w:val="ListParagraph"/>
        <w:numPr>
          <w:ilvl w:val="0"/>
          <w:numId w:val="2"/>
        </w:numPr>
        <w:spacing w:after="40" w:before="40"/>
      </w:pPr>
      <w:r>
        <w:rPr>
          <w:rFonts w:ascii="Calibri" w:cs="Calibri" w:eastAsia="Calibri" w:hAnsi="Calibri"/>
          <w:color w:val="1A1A2E"/>
          <w:sz w:val="20"/>
          <w:szCs w:val="20"/>
        </w:rPr>
        <w:t xml:space="preserve">Predictive sales revenue forecasting based on pipeline data and historical patterns</w:t>
      </w:r>
    </w:p>
    <w:p>
      <w:pPr>
        <w:pStyle w:val="ListParagraph"/>
        <w:numPr>
          <w:ilvl w:val="0"/>
          <w:numId w:val="2"/>
        </w:numPr>
        <w:spacing w:after="40" w:before="40"/>
      </w:pPr>
      <w:r>
        <w:rPr>
          <w:rFonts w:ascii="Calibri" w:cs="Calibri" w:eastAsia="Calibri" w:hAnsi="Calibri"/>
          <w:color w:val="1A1A2E"/>
          <w:sz w:val="20"/>
          <w:szCs w:val="20"/>
        </w:rPr>
        <w:t xml:space="preserve">Monthly and quarterly trend analysis with confidence intervals</w:t>
      </w:r>
    </w:p>
    <w:p>
      <w:pPr>
        <w:pStyle w:val="ListParagraph"/>
        <w:numPr>
          <w:ilvl w:val="0"/>
          <w:numId w:val="2"/>
        </w:numPr>
        <w:spacing w:after="40" w:before="40"/>
      </w:pPr>
      <w:r>
        <w:rPr>
          <w:rFonts w:ascii="Calibri" w:cs="Calibri" w:eastAsia="Calibri" w:hAnsi="Calibri"/>
          <w:color w:val="1A1A2E"/>
          <w:sz w:val="20"/>
          <w:szCs w:val="20"/>
        </w:rPr>
        <w:t xml:space="preserve">Target attainment probability indicators per sales representative</w:t>
      </w:r>
    </w:p>
    <w:p>
      <w:pPr>
        <w:pStyle w:val="ListParagraph"/>
        <w:numPr>
          <w:ilvl w:val="0"/>
          <w:numId w:val="2"/>
        </w:numPr>
        <w:spacing w:after="40" w:before="40"/>
      </w:pPr>
      <w:r>
        <w:rPr>
          <w:rFonts w:ascii="Calibri" w:cs="Calibri" w:eastAsia="Calibri" w:hAnsi="Calibri"/>
          <w:color w:val="1A1A2E"/>
          <w:sz w:val="20"/>
          <w:szCs w:val="20"/>
        </w:rPr>
        <w:t xml:space="preserve">Integration with existing Reports and Dashboard modules</w:t>
      </w:r>
    </w:p>
    <w:p>
      <w:pPr>
        <w:spacing w:after="60" w:before="60"/>
      </w:pPr>
      <w:r>
        <w:rPr>
          <w:rFonts w:ascii="Calibri" w:cs="Calibri" w:eastAsia="Calibri" w:hAnsi="Calibri"/>
          <w:b/>
          <w:bCs/>
          <w:color w:val="1A1A2E"/>
          <w:sz w:val="20"/>
          <w:szCs w:val="20"/>
        </w:rPr>
        <w:t xml:space="preserve">Deliverable: New “AI Insights” section within the Reports module.</w:t>
      </w:r>
    </w:p>
    <w:p>
      <w:pPr>
        <w:spacing w:after="0" w:before="0"/>
      </w:pPr>
      <w:r>
        <w:rPr>
          <w:rFonts w:ascii="Calibri" w:cs="Calibri" w:eastAsia="Calibri" w:hAnsi="Calibri"/>
          <w:sz w:val="10"/>
          <w:szCs w:val="10"/>
        </w:rPr>
        <w:t xml:space="preserve"/>
      </w:r>
    </w:p>
    <w:p>
      <w:pPr>
        <w:spacing w:after="80" w:before="240"/>
      </w:pPr>
      <w:r>
        <w:rPr>
          <w:rFonts w:ascii="Calibri" w:cs="Calibri" w:eastAsia="Calibri" w:hAnsi="Calibri"/>
          <w:b/>
          <w:bCs/>
          <w:color w:val="2E75B6"/>
          <w:sz w:val="24"/>
          <w:szCs w:val="24"/>
        </w:rPr>
        <w:t xml:space="preserve">3.4  Smart Document Generation</w:t>
      </w:r>
    </w:p>
    <w:p>
      <w:pPr>
        <w:pStyle w:val="ListParagraph"/>
        <w:numPr>
          <w:ilvl w:val="0"/>
          <w:numId w:val="2"/>
        </w:numPr>
        <w:spacing w:after="40" w:before="40"/>
      </w:pPr>
      <w:r>
        <w:rPr>
          <w:rFonts w:ascii="Calibri" w:cs="Calibri" w:eastAsia="Calibri" w:hAnsi="Calibri"/>
          <w:color w:val="1A1A2E"/>
          <w:sz w:val="20"/>
          <w:szCs w:val="20"/>
        </w:rPr>
        <w:t xml:space="preserve">AI-assisted invoice and quote PDF generation with intelligent field population</w:t>
      </w:r>
    </w:p>
    <w:p>
      <w:pPr>
        <w:pStyle w:val="ListParagraph"/>
        <w:numPr>
          <w:ilvl w:val="0"/>
          <w:numId w:val="2"/>
        </w:numPr>
        <w:spacing w:after="40" w:before="40"/>
      </w:pPr>
      <w:r>
        <w:rPr>
          <w:rFonts w:ascii="Calibri" w:cs="Calibri" w:eastAsia="Calibri" w:hAnsi="Calibri"/>
          <w:color w:val="1A1A2E"/>
          <w:sz w:val="20"/>
          <w:szCs w:val="20"/>
        </w:rPr>
        <w:t xml:space="preserve">Auto-generate professional email drafts for quote follow-ups and invoice reminders</w:t>
      </w:r>
    </w:p>
    <w:p>
      <w:pPr>
        <w:pStyle w:val="ListParagraph"/>
        <w:numPr>
          <w:ilvl w:val="0"/>
          <w:numId w:val="2"/>
        </w:numPr>
        <w:spacing w:after="40" w:before="40"/>
      </w:pPr>
      <w:r>
        <w:rPr>
          <w:rFonts w:ascii="Calibri" w:cs="Calibri" w:eastAsia="Calibri" w:hAnsi="Calibri"/>
          <w:color w:val="1A1A2E"/>
          <w:sz w:val="20"/>
          <w:szCs w:val="20"/>
        </w:rPr>
        <w:t xml:space="preserve">Template-based content generation using customer and shipment context</w:t>
      </w:r>
    </w:p>
    <w:p>
      <w:pPr>
        <w:spacing w:after="60" w:before="60"/>
      </w:pPr>
      <w:r>
        <w:rPr>
          <w:rFonts w:ascii="Calibri" w:cs="Calibri" w:eastAsia="Calibri" w:hAnsi="Calibri"/>
          <w:b/>
          <w:bCs/>
          <w:color w:val="1A1A2E"/>
          <w:sz w:val="20"/>
          <w:szCs w:val="20"/>
        </w:rPr>
        <w:t xml:space="preserve">Deliverable: “Generate with AI” button integrated into Quote and Invoice modules.</w:t>
      </w:r>
    </w:p>
    <w:p>
      <w:pPr>
        <w:spacing w:after="0" w:before="0"/>
      </w:pPr>
      <w:r>
        <w:rPr>
          <w:rFonts w:ascii="Calibri" w:cs="Calibri" w:eastAsia="Calibri" w:hAnsi="Calibri"/>
          <w:sz w:val="10"/>
          <w:szCs w:val="10"/>
        </w:rPr>
        <w:t xml:space="preserve"/>
      </w:r>
    </w:p>
    <w:p>
      <w:pPr>
        <w:spacing w:after="80" w:before="240"/>
      </w:pPr>
      <w:r>
        <w:rPr>
          <w:rFonts w:ascii="Calibri" w:cs="Calibri" w:eastAsia="Calibri" w:hAnsi="Calibri"/>
          <w:b/>
          <w:bCs/>
          <w:color w:val="2E75B6"/>
          <w:sz w:val="24"/>
          <w:szCs w:val="24"/>
        </w:rPr>
        <w:t xml:space="preserve">3.5  Internal AI Assistant (Chat Interface)</w:t>
      </w:r>
    </w:p>
    <w:p>
      <w:pPr>
        <w:pStyle w:val="ListParagraph"/>
        <w:numPr>
          <w:ilvl w:val="0"/>
          <w:numId w:val="2"/>
        </w:numPr>
        <w:spacing w:after="40" w:before="40"/>
      </w:pPr>
      <w:r>
        <w:rPr>
          <w:rFonts w:ascii="Calibri" w:cs="Calibri" w:eastAsia="Calibri" w:hAnsi="Calibri"/>
          <w:color w:val="1A1A2E"/>
          <w:sz w:val="20"/>
          <w:szCs w:val="20"/>
        </w:rPr>
        <w:t xml:space="preserve">Conversational assistant accessible via a side panel across all modules</w:t>
      </w:r>
    </w:p>
    <w:p>
      <w:pPr>
        <w:pStyle w:val="ListParagraph"/>
        <w:numPr>
          <w:ilvl w:val="0"/>
          <w:numId w:val="2"/>
        </w:numPr>
        <w:spacing w:after="40" w:before="40"/>
      </w:pPr>
      <w:r>
        <w:rPr>
          <w:rFonts w:ascii="Calibri" w:cs="Calibri" w:eastAsia="Calibri" w:hAnsi="Calibri"/>
          <w:color w:val="1A1A2E"/>
          <w:sz w:val="20"/>
          <w:szCs w:val="20"/>
        </w:rPr>
        <w:t xml:space="preserve">Supports queries such as: “Show me all overdue invoices,” “Summarise this week’s leads,” “What is our conversion rate for air export?”</w:t>
      </w:r>
    </w:p>
    <w:p>
      <w:pPr>
        <w:pStyle w:val="ListParagraph"/>
        <w:numPr>
          <w:ilvl w:val="0"/>
          <w:numId w:val="2"/>
        </w:numPr>
        <w:spacing w:after="40" w:before="40"/>
      </w:pPr>
      <w:r>
        <w:rPr>
          <w:rFonts w:ascii="Calibri" w:cs="Calibri" w:eastAsia="Calibri" w:hAnsi="Calibri"/>
          <w:color w:val="1A1A2E"/>
          <w:sz w:val="20"/>
          <w:szCs w:val="20"/>
        </w:rPr>
        <w:t xml:space="preserve">Context-aware responses powered by live CRM data</w:t>
      </w:r>
    </w:p>
    <w:p>
      <w:pPr>
        <w:spacing w:after="60" w:before="60"/>
      </w:pPr>
      <w:r>
        <w:rPr>
          <w:rFonts w:ascii="Calibri" w:cs="Calibri" w:eastAsia="Calibri" w:hAnsi="Calibri"/>
          <w:b/>
          <w:bCs/>
          <w:color w:val="1A1A2E"/>
          <w:sz w:val="20"/>
          <w:szCs w:val="20"/>
        </w:rPr>
        <w:t xml:space="preserve">Deliverable: AI Assistant panel integrated into the application shell (SideNav/Header area).</w:t>
      </w:r>
    </w:p>
    <w:p>
      <w:pPr>
        <w:spacing w:after="0" w:before="0"/>
      </w:pPr>
      <w:r>
        <w:rPr>
          <w:rFonts w:ascii="Calibri" w:cs="Calibri" w:eastAsia="Calibri" w:hAnsi="Calibri"/>
          <w:sz w:val="10"/>
          <w:szCs w:val="10"/>
        </w:rPr>
        <w:t xml:space="preserve"/>
      </w:r>
    </w:p>
    <w:p>
      <w:pPr>
        <w:pBdr>
          <w:bottom w:val="single" w:color="2E75B6" w:sz="6" w:space="6"/>
        </w:pBdr>
        <w:spacing w:after="120" w:before="320"/>
      </w:pPr>
      <w:r>
        <w:rPr>
          <w:rFonts w:ascii="Calibri" w:cs="Calibri" w:eastAsia="Calibri" w:hAnsi="Calibri"/>
          <w:b/>
          <w:bCs/>
          <w:color w:val="1F4E79"/>
          <w:sz w:val="32"/>
          <w:szCs w:val="32"/>
        </w:rPr>
        <w:t xml:space="preserve">4.  Out of Scope</w:t>
      </w:r>
    </w:p>
    <w:p>
      <w:pPr>
        <w:spacing w:after="60" w:before="60"/>
      </w:pPr>
      <w:r>
        <w:rPr>
          <w:rFonts w:ascii="Calibri" w:cs="Calibri" w:eastAsia="Calibri" w:hAnsi="Calibri"/>
          <w:b w:val="false"/>
          <w:bCs w:val="false"/>
          <w:color w:val="1A1A2E"/>
          <w:sz w:val="20"/>
          <w:szCs w:val="20"/>
        </w:rPr>
        <w:t xml:space="preserve">The following items are explicitly excluded from this engagement:</w:t>
      </w:r>
    </w:p>
    <w:p>
      <w:pPr>
        <w:pStyle w:val="ListParagraph"/>
        <w:numPr>
          <w:ilvl w:val="0"/>
          <w:numId w:val="2"/>
        </w:numPr>
        <w:spacing w:after="40" w:before="40"/>
      </w:pPr>
      <w:r>
        <w:rPr>
          <w:rFonts w:ascii="Calibri" w:cs="Calibri" w:eastAsia="Calibri" w:hAnsi="Calibri"/>
          <w:color w:val="1A1A2E"/>
          <w:sz w:val="20"/>
          <w:szCs w:val="20"/>
        </w:rPr>
        <w:t xml:space="preserve">Changes to existing core CRM functionality not related to AI features</w:t>
      </w:r>
    </w:p>
    <w:p>
      <w:pPr>
        <w:pStyle w:val="ListParagraph"/>
        <w:numPr>
          <w:ilvl w:val="0"/>
          <w:numId w:val="2"/>
        </w:numPr>
        <w:spacing w:after="40" w:before="40"/>
      </w:pPr>
      <w:r>
        <w:rPr>
          <w:rFonts w:ascii="Calibri" w:cs="Calibri" w:eastAsia="Calibri" w:hAnsi="Calibri"/>
          <w:color w:val="1A1A2E"/>
          <w:sz w:val="20"/>
          <w:szCs w:val="20"/>
        </w:rPr>
        <w:t xml:space="preserve">Mobile application development</w:t>
      </w:r>
    </w:p>
    <w:p>
      <w:pPr>
        <w:pStyle w:val="ListParagraph"/>
        <w:numPr>
          <w:ilvl w:val="0"/>
          <w:numId w:val="2"/>
        </w:numPr>
        <w:spacing w:after="40" w:before="40"/>
      </w:pPr>
      <w:r>
        <w:rPr>
          <w:rFonts w:ascii="Calibri" w:cs="Calibri" w:eastAsia="Calibri" w:hAnsi="Calibri"/>
          <w:color w:val="1A1A2E"/>
          <w:sz w:val="20"/>
          <w:szCs w:val="20"/>
        </w:rPr>
        <w:t xml:space="preserve">Third-party ERP or accounting system integrations</w:t>
      </w:r>
    </w:p>
    <w:p>
      <w:pPr>
        <w:pStyle w:val="ListParagraph"/>
        <w:numPr>
          <w:ilvl w:val="0"/>
          <w:numId w:val="2"/>
        </w:numPr>
        <w:spacing w:after="40" w:before="40"/>
      </w:pPr>
      <w:r>
        <w:rPr>
          <w:rFonts w:ascii="Calibri" w:cs="Calibri" w:eastAsia="Calibri" w:hAnsi="Calibri"/>
          <w:color w:val="1A1A2E"/>
          <w:sz w:val="20"/>
          <w:szCs w:val="20"/>
        </w:rPr>
        <w:t xml:space="preserve">Customer-facing AI chatbot (external or public-facing)</w:t>
      </w:r>
    </w:p>
    <w:p>
      <w:pPr>
        <w:pStyle w:val="ListParagraph"/>
        <w:numPr>
          <w:ilvl w:val="0"/>
          <w:numId w:val="2"/>
        </w:numPr>
        <w:spacing w:after="40" w:before="40"/>
      </w:pPr>
      <w:r>
        <w:rPr>
          <w:rFonts w:ascii="Calibri" w:cs="Calibri" w:eastAsia="Calibri" w:hAnsi="Calibri"/>
          <w:color w:val="1A1A2E"/>
          <w:sz w:val="20"/>
          <w:szCs w:val="20"/>
        </w:rPr>
        <w:t xml:space="preserve">Custom AI model training from scratch (pre-trained models via API will be used)</w:t>
      </w:r>
    </w:p>
    <w:p>
      <w:pPr>
        <w:pStyle w:val="ListParagraph"/>
        <w:numPr>
          <w:ilvl w:val="0"/>
          <w:numId w:val="2"/>
        </w:numPr>
        <w:spacing w:after="40" w:before="40"/>
      </w:pPr>
      <w:r>
        <w:rPr>
          <w:rFonts w:ascii="Calibri" w:cs="Calibri" w:eastAsia="Calibri" w:hAnsi="Calibri"/>
          <w:color w:val="1A1A2E"/>
          <w:sz w:val="20"/>
          <w:szCs w:val="20"/>
        </w:rPr>
        <w:t xml:space="preserve">Infrastructure setup beyond what is required for AI API integration</w:t>
      </w:r>
    </w:p>
    <w:p>
      <w:pPr>
        <w:pStyle w:val="ListParagraph"/>
        <w:numPr>
          <w:ilvl w:val="0"/>
          <w:numId w:val="2"/>
        </w:numPr>
        <w:spacing w:after="40" w:before="40"/>
      </w:pPr>
      <w:r>
        <w:rPr>
          <w:rFonts w:ascii="Calibri" w:cs="Calibri" w:eastAsia="Calibri" w:hAnsi="Calibri"/>
          <w:color w:val="1A1A2E"/>
          <w:sz w:val="20"/>
          <w:szCs w:val="20"/>
        </w:rPr>
        <w:t xml:space="preserve">Data migration or historical data cleansing</w:t>
      </w:r>
    </w:p>
    <w:p>
      <w:pPr>
        <w:spacing w:after="0" w:before="0"/>
      </w:pPr>
      <w:r>
        <w:rPr>
          <w:rFonts w:ascii="Calibri" w:cs="Calibri" w:eastAsia="Calibri" w:hAnsi="Calibri"/>
          <w:sz w:val="10"/>
          <w:szCs w:val="10"/>
        </w:rPr>
        <w:t xml:space="preserve"/>
      </w:r>
    </w:p>
    <w:p>
      <w:pPr>
        <w:pBdr>
          <w:bottom w:val="single" w:color="2E75B6" w:sz="6" w:space="6"/>
        </w:pBdr>
        <w:spacing w:after="120" w:before="320"/>
      </w:pPr>
      <w:r>
        <w:rPr>
          <w:rFonts w:ascii="Calibri" w:cs="Calibri" w:eastAsia="Calibri" w:hAnsi="Calibri"/>
          <w:b/>
          <w:bCs/>
          <w:color w:val="1F4E79"/>
          <w:sz w:val="32"/>
          <w:szCs w:val="32"/>
        </w:rPr>
        <w:t xml:space="preserve">5.  Technical Approach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c>
          <w:tcPr>
            <w:tcW w:type="dxa" w:w="250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center"/>
            </w:pPr>
            <w:r>
              <w:rPr>
                <w:rFonts w:ascii="Calibri" w:cs="Calibri" w:eastAsia="Calibri" w:hAnsi="Calibri"/>
                <w:b/>
                <w:bCs/>
                <w:color w:val="FFFFFF"/>
                <w:sz w:val="20"/>
                <w:szCs w:val="20"/>
              </w:rPr>
              <w:t xml:space="preserve">Component</w:t>
            </w:r>
          </w:p>
        </w:tc>
        <w:tc>
          <w:tcPr>
            <w:tcW w:type="dxa" w:w="758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center"/>
            </w:pPr>
            <w:r>
              <w:rPr>
                <w:rFonts w:ascii="Calibri" w:cs="Calibri" w:eastAsia="Calibri" w:hAnsi="Calibri"/>
                <w:b/>
                <w:bCs/>
                <w:color w:val="FFFFFF"/>
                <w:sz w:val="20"/>
                <w:szCs w:val="20"/>
              </w:rPr>
              <w:t xml:space="preserve">Approach</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libri" w:cs="Calibri" w:eastAsia="Calibri" w:hAnsi="Calibri"/>
                <w:b/>
                <w:bCs/>
                <w:color w:val="1F4E79"/>
                <w:sz w:val="20"/>
                <w:szCs w:val="20"/>
              </w:rPr>
              <w:t xml:space="preserve">AI Provider</w:t>
            </w:r>
          </w:p>
        </w:tc>
        <w:tc>
          <w:tcPr>
            <w:tcW w:type="dxa" w:w="7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color w:val="1A1A2E"/>
                <w:sz w:val="20"/>
                <w:szCs w:val="20"/>
              </w:rPr>
              <w:t xml:space="preserve">Anthropic Claude API (claude-sonnet-4-6) for NLP tasks; statistical ML for scoring and forecasting</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libri" w:cs="Calibri" w:eastAsia="Calibri" w:hAnsi="Calibri"/>
                <w:b/>
                <w:bCs/>
                <w:color w:val="1F4E79"/>
                <w:sz w:val="20"/>
                <w:szCs w:val="20"/>
              </w:rPr>
              <w:t xml:space="preserve">Frontend</w:t>
            </w:r>
          </w:p>
        </w:tc>
        <w:tc>
          <w:tcPr>
            <w:tcW w:type="dxa" w:w="75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color w:val="1A1A2E"/>
                <w:sz w:val="20"/>
                <w:szCs w:val="20"/>
              </w:rPr>
              <w:t xml:space="preserve">React components added to existing modules; no UI framework change</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libri" w:cs="Calibri" w:eastAsia="Calibri" w:hAnsi="Calibri"/>
                <w:b/>
                <w:bCs/>
                <w:color w:val="1F4E79"/>
                <w:sz w:val="20"/>
                <w:szCs w:val="20"/>
              </w:rPr>
              <w:t xml:space="preserve">Backend</w:t>
            </w:r>
          </w:p>
        </w:tc>
        <w:tc>
          <w:tcPr>
            <w:tcW w:type="dxa" w:w="7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color w:val="1A1A2E"/>
                <w:sz w:val="20"/>
                <w:szCs w:val="20"/>
              </w:rPr>
              <w:t xml:space="preserve">New ASP.NET Core controller endpoints to interface with AI services (.NET 9.0)</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libri" w:cs="Calibri" w:eastAsia="Calibri" w:hAnsi="Calibri"/>
                <w:b/>
                <w:bCs/>
                <w:color w:val="1F4E79"/>
                <w:sz w:val="20"/>
                <w:szCs w:val="20"/>
              </w:rPr>
              <w:t xml:space="preserve">Data Privacy</w:t>
            </w:r>
          </w:p>
        </w:tc>
        <w:tc>
          <w:tcPr>
            <w:tcW w:type="dxa" w:w="75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color w:val="1A1A2E"/>
                <w:sz w:val="20"/>
                <w:szCs w:val="20"/>
              </w:rPr>
              <w:t xml:space="preserve">All CRM data remains within the existing SQL Server database; no customer PII transmitted to external AI providers in raw form</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libri" w:cs="Calibri" w:eastAsia="Calibri" w:hAnsi="Calibri"/>
                <w:b/>
                <w:bCs/>
                <w:color w:val="1F4E79"/>
                <w:sz w:val="20"/>
                <w:szCs w:val="20"/>
              </w:rPr>
              <w:t xml:space="preserve">Authentication</w:t>
            </w:r>
          </w:p>
        </w:tc>
        <w:tc>
          <w:tcPr>
            <w:tcW w:type="dxa" w:w="7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color w:val="1A1A2E"/>
                <w:sz w:val="20"/>
                <w:szCs w:val="20"/>
              </w:rPr>
              <w:t xml:space="preserve">Existing JWT-based authentication extended to secure all new AI endpoints</w:t>
            </w:r>
          </w:p>
        </w:tc>
      </w:tr>
    </w:tbl>
    <w:p>
      <w:pPr>
        <w:spacing w:after="0" w:before="0"/>
      </w:pPr>
      <w:r>
        <w:rPr>
          <w:rFonts w:ascii="Calibri" w:cs="Calibri" w:eastAsia="Calibri" w:hAnsi="Calibri"/>
          <w:sz w:val="10"/>
          <w:szCs w:val="10"/>
        </w:rPr>
        <w:t xml:space="preserve"/>
      </w:r>
    </w:p>
    <w:p>
      <w:pPr>
        <w:pBdr>
          <w:bottom w:val="single" w:color="2E75B6" w:sz="6" w:space="6"/>
        </w:pBdr>
        <w:spacing w:after="120" w:before="320"/>
      </w:pPr>
      <w:r>
        <w:rPr>
          <w:rFonts w:ascii="Calibri" w:cs="Calibri" w:eastAsia="Calibri" w:hAnsi="Calibri"/>
          <w:b/>
          <w:bCs/>
          <w:color w:val="1F4E79"/>
          <w:sz w:val="32"/>
          <w:szCs w:val="32"/>
        </w:rPr>
        <w:t xml:space="preserve">6.  Assumptions &amp; Dependencies</w:t>
      </w:r>
    </w:p>
    <w:p>
      <w:pPr>
        <w:pStyle w:val="ListParagraph"/>
        <w:numPr>
          <w:ilvl w:val="0"/>
          <w:numId w:val="2"/>
        </w:numPr>
        <w:spacing w:after="40" w:before="40"/>
      </w:pPr>
      <w:r>
        <w:rPr>
          <w:rFonts w:ascii="Calibri" w:cs="Calibri" w:eastAsia="Calibri" w:hAnsi="Calibri"/>
          <w:color w:val="1A1A2E"/>
          <w:sz w:val="20"/>
          <w:szCs w:val="20"/>
        </w:rPr>
        <w:t xml:space="preserve">Client to provide access to existing production database for historical data used in model inputs</w:t>
      </w:r>
    </w:p>
    <w:p>
      <w:pPr>
        <w:pStyle w:val="ListParagraph"/>
        <w:numPr>
          <w:ilvl w:val="0"/>
          <w:numId w:val="2"/>
        </w:numPr>
        <w:spacing w:after="40" w:before="40"/>
      </w:pPr>
      <w:r>
        <w:rPr>
          <w:rFonts w:ascii="Calibri" w:cs="Calibri" w:eastAsia="Calibri" w:hAnsi="Calibri"/>
          <w:color w:val="1A1A2E"/>
          <w:sz w:val="20"/>
          <w:szCs w:val="20"/>
        </w:rPr>
        <w:t xml:space="preserve">Claude API key to be procured by the client; API usage costs are not included in the project budget</w:t>
      </w:r>
    </w:p>
    <w:p>
      <w:pPr>
        <w:pStyle w:val="ListParagraph"/>
        <w:numPr>
          <w:ilvl w:val="0"/>
          <w:numId w:val="2"/>
        </w:numPr>
        <w:spacing w:after="40" w:before="40"/>
      </w:pPr>
      <w:r>
        <w:rPr>
          <w:rFonts w:ascii="Calibri" w:cs="Calibri" w:eastAsia="Calibri" w:hAnsi="Calibri"/>
          <w:color w:val="1A1A2E"/>
          <w:sz w:val="20"/>
          <w:szCs w:val="20"/>
        </w:rPr>
        <w:t xml:space="preserve">Existing backend (.NET 9.0) and frontend (React 19) environments remain stable during development</w:t>
      </w:r>
    </w:p>
    <w:p>
      <w:pPr>
        <w:pStyle w:val="ListParagraph"/>
        <w:numPr>
          <w:ilvl w:val="0"/>
          <w:numId w:val="2"/>
        </w:numPr>
        <w:spacing w:after="40" w:before="40"/>
      </w:pPr>
      <w:r>
        <w:rPr>
          <w:rFonts w:ascii="Calibri" w:cs="Calibri" w:eastAsia="Calibri" w:hAnsi="Calibri"/>
          <w:color w:val="1A1A2E"/>
          <w:sz w:val="20"/>
          <w:szCs w:val="20"/>
        </w:rPr>
        <w:t xml:space="preserve">Stakeholder feedback and UAT sign-off to be provided within 5 business days of each milestone delivery</w:t>
      </w:r>
    </w:p>
    <w:p>
      <w:pPr>
        <w:spacing w:after="0" w:before="0"/>
      </w:pPr>
      <w:r>
        <w:rPr>
          <w:rFonts w:ascii="Calibri" w:cs="Calibri" w:eastAsia="Calibri" w:hAnsi="Calibri"/>
          <w:sz w:val="10"/>
          <w:szCs w:val="10"/>
        </w:rPr>
        <w:t xml:space="preserve"/>
      </w:r>
    </w:p>
    <w:p>
      <w:pPr>
        <w:pBdr>
          <w:bottom w:val="single" w:color="2E75B6" w:sz="6" w:space="6"/>
        </w:pBdr>
        <w:spacing w:after="120" w:before="320"/>
      </w:pPr>
      <w:r>
        <w:rPr>
          <w:rFonts w:ascii="Calibri" w:cs="Calibri" w:eastAsia="Calibri" w:hAnsi="Calibri"/>
          <w:b/>
          <w:bCs/>
          <w:color w:val="1F4E79"/>
          <w:sz w:val="32"/>
          <w:szCs w:val="32"/>
        </w:rPr>
        <w:t xml:space="preserve">7.  Acceptance Criteria</w:t>
      </w:r>
    </w:p>
    <w:p>
      <w:pPr>
        <w:pStyle w:val="ListParagraph"/>
        <w:numPr>
          <w:ilvl w:val="0"/>
          <w:numId w:val="2"/>
        </w:numPr>
        <w:spacing w:after="40" w:before="40"/>
      </w:pPr>
      <w:r>
        <w:rPr>
          <w:rFonts w:ascii="Calibri" w:cs="Calibri" w:eastAsia="Calibri" w:hAnsi="Calibri"/>
          <w:color w:val="1A1A2E"/>
          <w:sz w:val="20"/>
          <w:szCs w:val="20"/>
        </w:rPr>
        <w:t xml:space="preserve">All five AI features are functional in the production environment</w:t>
      </w:r>
    </w:p>
    <w:p>
      <w:pPr>
        <w:pStyle w:val="ListParagraph"/>
        <w:numPr>
          <w:ilvl w:val="0"/>
          <w:numId w:val="2"/>
        </w:numPr>
        <w:spacing w:after="40" w:before="40"/>
      </w:pPr>
      <w:r>
        <w:rPr>
          <w:rFonts w:ascii="Calibri" w:cs="Calibri" w:eastAsia="Calibri" w:hAnsi="Calibri"/>
          <w:color w:val="1A1A2E"/>
          <w:sz w:val="20"/>
          <w:szCs w:val="20"/>
        </w:rPr>
        <w:t xml:space="preserve">Lead scoring model achieves a minimum accuracy of 70% on the test dataset</w:t>
      </w:r>
    </w:p>
    <w:p>
      <w:pPr>
        <w:pStyle w:val="ListParagraph"/>
        <w:numPr>
          <w:ilvl w:val="0"/>
          <w:numId w:val="2"/>
        </w:numPr>
        <w:spacing w:after="40" w:before="40"/>
      </w:pPr>
      <w:r>
        <w:rPr>
          <w:rFonts w:ascii="Calibri" w:cs="Calibri" w:eastAsia="Calibri" w:hAnsi="Calibri"/>
          <w:color w:val="1A1A2E"/>
          <w:sz w:val="20"/>
          <w:szCs w:val="20"/>
        </w:rPr>
        <w:t xml:space="preserve">Sales forecasting variance is within ±15% for the trailing 3-month period</w:t>
      </w:r>
    </w:p>
    <w:p>
      <w:pPr>
        <w:pStyle w:val="ListParagraph"/>
        <w:numPr>
          <w:ilvl w:val="0"/>
          <w:numId w:val="2"/>
        </w:numPr>
        <w:spacing w:after="40" w:before="40"/>
      </w:pPr>
      <w:r>
        <w:rPr>
          <w:rFonts w:ascii="Calibri" w:cs="Calibri" w:eastAsia="Calibri" w:hAnsi="Calibri"/>
          <w:color w:val="1A1A2E"/>
          <w:sz w:val="20"/>
          <w:szCs w:val="20"/>
        </w:rPr>
        <w:t xml:space="preserve">AI Assistant correctly resolves at least 80% of tested queries during UAT</w:t>
      </w:r>
    </w:p>
    <w:p>
      <w:pPr>
        <w:pStyle w:val="ListParagraph"/>
        <w:numPr>
          <w:ilvl w:val="0"/>
          <w:numId w:val="2"/>
        </w:numPr>
        <w:spacing w:after="40" w:before="40"/>
      </w:pPr>
      <w:r>
        <w:rPr>
          <w:rFonts w:ascii="Calibri" w:cs="Calibri" w:eastAsia="Calibri" w:hAnsi="Calibri"/>
          <w:color w:val="1A1A2E"/>
          <w:sz w:val="20"/>
          <w:szCs w:val="20"/>
        </w:rPr>
        <w:t xml:space="preserve">All new features pass a security review with no high-severity vulnerabilities</w:t>
      </w:r>
    </w:p>
    <w:p>
      <w:pPr>
        <w:spacing w:after="0" w:before="0"/>
      </w:pPr>
      <w:r>
        <w:rPr>
          <w:rFonts w:ascii="Calibri" w:cs="Calibri" w:eastAsia="Calibri" w:hAnsi="Calibri"/>
          <w:sz w:val="10"/>
          <w:szCs w:val="10"/>
        </w:rPr>
        <w:t xml:space="preserve"/>
      </w:r>
    </w:p>
    <w:p>
      <w:pPr>
        <w:pBdr>
          <w:bottom w:val="single" w:color="2E75B6" w:sz="6" w:space="6"/>
        </w:pBdr>
        <w:spacing w:after="120" w:before="320"/>
      </w:pPr>
      <w:r>
        <w:rPr>
          <w:rFonts w:ascii="Calibri" w:cs="Calibri" w:eastAsia="Calibri" w:hAnsi="Calibri"/>
          <w:b/>
          <w:bCs/>
          <w:color w:val="1F4E79"/>
          <w:sz w:val="32"/>
          <w:szCs w:val="32"/>
        </w:rPr>
        <w:t xml:space="preserve">8.  Budget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80"/>
        <w:gridCol w:w="3000"/>
      </w:tblGrid>
      <w:tr>
        <w:tc>
          <w:tcPr>
            <w:tcW w:type="dxa" w:w="708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center"/>
            </w:pPr>
            <w:r>
              <w:rPr>
                <w:rFonts w:ascii="Calibri" w:cs="Calibri" w:eastAsia="Calibri" w:hAnsi="Calibri"/>
                <w:b/>
                <w:bCs/>
                <w:color w:val="FFFFFF"/>
                <w:sz w:val="20"/>
                <w:szCs w:val="20"/>
              </w:rPr>
              <w:t xml:space="preserve">Deliverable</w:t>
            </w:r>
          </w:p>
        </w:tc>
        <w:tc>
          <w:tcPr>
            <w:tcW w:type="dxa" w:w="300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center"/>
            </w:pPr>
            <w:r>
              <w:rPr>
                <w:rFonts w:ascii="Calibri" w:cs="Calibri" w:eastAsia="Calibri" w:hAnsi="Calibri"/>
                <w:b/>
                <w:bCs/>
                <w:color w:val="FFFFFF"/>
                <w:sz w:val="20"/>
                <w:szCs w:val="20"/>
              </w:rPr>
              <w:t xml:space="preserve">Estimated Cost (LKR)</w:t>
            </w:r>
          </w:p>
        </w:tc>
      </w:tr>
      <w:tr>
        <w:tc>
          <w:tcPr>
            <w:tcW w:type="dxa" w:w="7080"/>
            <w:gridSpan w:val="1"/>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Calibri" w:cs="Calibri" w:eastAsia="Calibri" w:hAnsi="Calibri"/>
                <w:b w:val="false"/>
                <w:bCs w:val="false"/>
                <w:color w:val="1A1A2E"/>
                <w:sz w:val="20"/>
                <w:szCs w:val="20"/>
              </w:rPr>
              <w:t xml:space="preserve">AI Lead Scoring &amp; Prioritization</w:t>
            </w:r>
          </w:p>
        </w:tc>
        <w:tc>
          <w:tcPr>
            <w:tcW w:type="dxa" w:w="3000"/>
            <w:gridSpan w:val="1"/>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Calibri" w:cs="Calibri" w:eastAsia="Calibri" w:hAnsi="Calibri"/>
                <w:b w:val="false"/>
                <w:bCs w:val="false"/>
                <w:color w:val="1A1A2E"/>
                <w:sz w:val="20"/>
                <w:szCs w:val="20"/>
              </w:rPr>
              <w:t xml:space="preserve">90,000</w:t>
            </w:r>
          </w:p>
        </w:tc>
      </w:tr>
      <w:tr>
        <w:tc>
          <w:tcPr>
            <w:tcW w:type="dxa" w:w="7080"/>
            <w:gridSpan w:val="1"/>
            <w:tcBorders>
              <w:top w:val="single" w:color="CCCCCC" w:sz="1"/>
              <w:left w:val="single" w:color="CCCCCC" w:sz="1"/>
              <w:bottom w:val="single" w:color="CCCCCC" w:sz="1"/>
              <w:right w:val="single" w:color="CCCCCC" w:sz="1"/>
            </w:tcBorders>
            <w:shd w:fill="EBF3FB" w:val="clear"/>
            <w:tcMar>
              <w:top w:type="dxa" w:w="100"/>
              <w:left w:type="dxa" w:w="150"/>
              <w:bottom w:type="dxa" w:w="100"/>
              <w:right w:type="dxa" w:w="150"/>
            </w:tcMar>
            <w:vAlign w:val="center"/>
          </w:tcPr>
          <w:p>
            <w:pPr>
              <w:jc w:val="left"/>
            </w:pPr>
            <w:r>
              <w:rPr>
                <w:rFonts w:ascii="Calibri" w:cs="Calibri" w:eastAsia="Calibri" w:hAnsi="Calibri"/>
                <w:b w:val="false"/>
                <w:bCs w:val="false"/>
                <w:color w:val="1A1A2E"/>
                <w:sz w:val="20"/>
                <w:szCs w:val="20"/>
              </w:rPr>
              <w:t xml:space="preserve">Intelligent Quote Recommendation Engine</w:t>
            </w:r>
          </w:p>
        </w:tc>
        <w:tc>
          <w:tcPr>
            <w:tcW w:type="dxa" w:w="3000"/>
            <w:gridSpan w:val="1"/>
            <w:tcBorders>
              <w:top w:val="single" w:color="CCCCCC" w:sz="1"/>
              <w:left w:val="single" w:color="CCCCCC" w:sz="1"/>
              <w:bottom w:val="single" w:color="CCCCCC" w:sz="1"/>
              <w:right w:val="single" w:color="CCCCCC" w:sz="1"/>
            </w:tcBorders>
            <w:shd w:fill="EBF3FB" w:val="clear"/>
            <w:tcMar>
              <w:top w:type="dxa" w:w="100"/>
              <w:left w:type="dxa" w:w="150"/>
              <w:bottom w:type="dxa" w:w="100"/>
              <w:right w:type="dxa" w:w="150"/>
            </w:tcMar>
            <w:vAlign w:val="center"/>
          </w:tcPr>
          <w:p>
            <w:pPr>
              <w:jc w:val="right"/>
            </w:pPr>
            <w:r>
              <w:rPr>
                <w:rFonts w:ascii="Calibri" w:cs="Calibri" w:eastAsia="Calibri" w:hAnsi="Calibri"/>
                <w:b w:val="false"/>
                <w:bCs w:val="false"/>
                <w:color w:val="1A1A2E"/>
                <w:sz w:val="20"/>
                <w:szCs w:val="20"/>
              </w:rPr>
              <w:t xml:space="preserve">85,000</w:t>
            </w:r>
          </w:p>
        </w:tc>
      </w:tr>
      <w:tr>
        <w:tc>
          <w:tcPr>
            <w:tcW w:type="dxa" w:w="7080"/>
            <w:gridSpan w:val="1"/>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Calibri" w:cs="Calibri" w:eastAsia="Calibri" w:hAnsi="Calibri"/>
                <w:b w:val="false"/>
                <w:bCs w:val="false"/>
                <w:color w:val="1A1A2E"/>
                <w:sz w:val="20"/>
                <w:szCs w:val="20"/>
              </w:rPr>
              <w:t xml:space="preserve">AI Sales Forecasting Dashboard</w:t>
            </w:r>
          </w:p>
        </w:tc>
        <w:tc>
          <w:tcPr>
            <w:tcW w:type="dxa" w:w="3000"/>
            <w:gridSpan w:val="1"/>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Calibri" w:cs="Calibri" w:eastAsia="Calibri" w:hAnsi="Calibri"/>
                <w:b w:val="false"/>
                <w:bCs w:val="false"/>
                <w:color w:val="1A1A2E"/>
                <w:sz w:val="20"/>
                <w:szCs w:val="20"/>
              </w:rPr>
              <w:t xml:space="preserve">95,000</w:t>
            </w:r>
          </w:p>
        </w:tc>
      </w:tr>
      <w:tr>
        <w:tc>
          <w:tcPr>
            <w:tcW w:type="dxa" w:w="7080"/>
            <w:gridSpan w:val="1"/>
            <w:tcBorders>
              <w:top w:val="single" w:color="CCCCCC" w:sz="1"/>
              <w:left w:val="single" w:color="CCCCCC" w:sz="1"/>
              <w:bottom w:val="single" w:color="CCCCCC" w:sz="1"/>
              <w:right w:val="single" w:color="CCCCCC" w:sz="1"/>
            </w:tcBorders>
            <w:shd w:fill="EBF3FB" w:val="clear"/>
            <w:tcMar>
              <w:top w:type="dxa" w:w="100"/>
              <w:left w:type="dxa" w:w="150"/>
              <w:bottom w:type="dxa" w:w="100"/>
              <w:right w:type="dxa" w:w="150"/>
            </w:tcMar>
            <w:vAlign w:val="center"/>
          </w:tcPr>
          <w:p>
            <w:pPr>
              <w:jc w:val="left"/>
            </w:pPr>
            <w:r>
              <w:rPr>
                <w:rFonts w:ascii="Calibri" w:cs="Calibri" w:eastAsia="Calibri" w:hAnsi="Calibri"/>
                <w:b w:val="false"/>
                <w:bCs w:val="false"/>
                <w:color w:val="1A1A2E"/>
                <w:sz w:val="20"/>
                <w:szCs w:val="20"/>
              </w:rPr>
              <w:t xml:space="preserve">Smart Document Generation</w:t>
            </w:r>
          </w:p>
        </w:tc>
        <w:tc>
          <w:tcPr>
            <w:tcW w:type="dxa" w:w="3000"/>
            <w:gridSpan w:val="1"/>
            <w:tcBorders>
              <w:top w:val="single" w:color="CCCCCC" w:sz="1"/>
              <w:left w:val="single" w:color="CCCCCC" w:sz="1"/>
              <w:bottom w:val="single" w:color="CCCCCC" w:sz="1"/>
              <w:right w:val="single" w:color="CCCCCC" w:sz="1"/>
            </w:tcBorders>
            <w:shd w:fill="EBF3FB" w:val="clear"/>
            <w:tcMar>
              <w:top w:type="dxa" w:w="100"/>
              <w:left w:type="dxa" w:w="150"/>
              <w:bottom w:type="dxa" w:w="100"/>
              <w:right w:type="dxa" w:w="150"/>
            </w:tcMar>
            <w:vAlign w:val="center"/>
          </w:tcPr>
          <w:p>
            <w:pPr>
              <w:jc w:val="right"/>
            </w:pPr>
            <w:r>
              <w:rPr>
                <w:rFonts w:ascii="Calibri" w:cs="Calibri" w:eastAsia="Calibri" w:hAnsi="Calibri"/>
                <w:b w:val="false"/>
                <w:bCs w:val="false"/>
                <w:color w:val="1A1A2E"/>
                <w:sz w:val="20"/>
                <w:szCs w:val="20"/>
              </w:rPr>
              <w:t xml:space="preserve">75,000</w:t>
            </w:r>
          </w:p>
        </w:tc>
      </w:tr>
      <w:tr>
        <w:tc>
          <w:tcPr>
            <w:tcW w:type="dxa" w:w="7080"/>
            <w:gridSpan w:val="1"/>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Calibri" w:cs="Calibri" w:eastAsia="Calibri" w:hAnsi="Calibri"/>
                <w:b w:val="false"/>
                <w:bCs w:val="false"/>
                <w:color w:val="1A1A2E"/>
                <w:sz w:val="20"/>
                <w:szCs w:val="20"/>
              </w:rPr>
              <w:t xml:space="preserve">Internal AI Assistant (Chat Interface)</w:t>
            </w:r>
          </w:p>
        </w:tc>
        <w:tc>
          <w:tcPr>
            <w:tcW w:type="dxa" w:w="3000"/>
            <w:gridSpan w:val="1"/>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Calibri" w:cs="Calibri" w:eastAsia="Calibri" w:hAnsi="Calibri"/>
                <w:b w:val="false"/>
                <w:bCs w:val="false"/>
                <w:color w:val="1A1A2E"/>
                <w:sz w:val="20"/>
                <w:szCs w:val="20"/>
              </w:rPr>
              <w:t xml:space="preserve">110,000</w:t>
            </w:r>
          </w:p>
        </w:tc>
      </w:tr>
      <w:tr>
        <w:tc>
          <w:tcPr>
            <w:tcW w:type="dxa" w:w="7080"/>
            <w:gridSpan w:val="1"/>
            <w:tcBorders>
              <w:top w:val="single" w:color="CCCCCC" w:sz="1"/>
              <w:left w:val="single" w:color="CCCCCC" w:sz="1"/>
              <w:bottom w:val="single" w:color="CCCCCC" w:sz="1"/>
              <w:right w:val="single" w:color="CCCCCC" w:sz="1"/>
            </w:tcBorders>
            <w:shd w:fill="EBF3FB" w:val="clear"/>
            <w:tcMar>
              <w:top w:type="dxa" w:w="100"/>
              <w:left w:type="dxa" w:w="150"/>
              <w:bottom w:type="dxa" w:w="100"/>
              <w:right w:type="dxa" w:w="150"/>
            </w:tcMar>
            <w:vAlign w:val="center"/>
          </w:tcPr>
          <w:p>
            <w:pPr>
              <w:jc w:val="left"/>
            </w:pPr>
            <w:r>
              <w:rPr>
                <w:rFonts w:ascii="Calibri" w:cs="Calibri" w:eastAsia="Calibri" w:hAnsi="Calibri"/>
                <w:b w:val="false"/>
                <w:bCs w:val="false"/>
                <w:color w:val="1A1A2E"/>
                <w:sz w:val="20"/>
                <w:szCs w:val="20"/>
              </w:rPr>
              <w:t xml:space="preserve">Testing, QA &amp; Deployment</w:t>
            </w:r>
          </w:p>
        </w:tc>
        <w:tc>
          <w:tcPr>
            <w:tcW w:type="dxa" w:w="3000"/>
            <w:gridSpan w:val="1"/>
            <w:tcBorders>
              <w:top w:val="single" w:color="CCCCCC" w:sz="1"/>
              <w:left w:val="single" w:color="CCCCCC" w:sz="1"/>
              <w:bottom w:val="single" w:color="CCCCCC" w:sz="1"/>
              <w:right w:val="single" w:color="CCCCCC" w:sz="1"/>
            </w:tcBorders>
            <w:shd w:fill="EBF3FB" w:val="clear"/>
            <w:tcMar>
              <w:top w:type="dxa" w:w="100"/>
              <w:left w:type="dxa" w:w="150"/>
              <w:bottom w:type="dxa" w:w="100"/>
              <w:right w:type="dxa" w:w="150"/>
            </w:tcMar>
            <w:vAlign w:val="center"/>
          </w:tcPr>
          <w:p>
            <w:pPr>
              <w:jc w:val="right"/>
            </w:pPr>
            <w:r>
              <w:rPr>
                <w:rFonts w:ascii="Calibri" w:cs="Calibri" w:eastAsia="Calibri" w:hAnsi="Calibri"/>
                <w:b w:val="false"/>
                <w:bCs w:val="false"/>
                <w:color w:val="1A1A2E"/>
                <w:sz w:val="20"/>
                <w:szCs w:val="20"/>
              </w:rPr>
              <w:t xml:space="preserve">40,000</w:t>
            </w:r>
          </w:p>
        </w:tc>
      </w:tr>
      <w:tr>
        <w:tc>
          <w:tcPr>
            <w:tcW w:type="dxa" w:w="7080"/>
            <w:gridSpan w:val="1"/>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Calibri" w:cs="Calibri" w:eastAsia="Calibri" w:hAnsi="Calibri"/>
                <w:b w:val="false"/>
                <w:bCs w:val="false"/>
                <w:color w:val="1A1A2E"/>
                <w:sz w:val="20"/>
                <w:szCs w:val="20"/>
              </w:rPr>
              <w:t xml:space="preserve">Documentation &amp; Handover</w:t>
            </w:r>
          </w:p>
        </w:tc>
        <w:tc>
          <w:tcPr>
            <w:tcW w:type="dxa" w:w="3000"/>
            <w:gridSpan w:val="1"/>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Calibri" w:cs="Calibri" w:eastAsia="Calibri" w:hAnsi="Calibri"/>
                <w:b w:val="false"/>
                <w:bCs w:val="false"/>
                <w:color w:val="1A1A2E"/>
                <w:sz w:val="20"/>
                <w:szCs w:val="20"/>
              </w:rPr>
              <w:t xml:space="preserve">25,000</w:t>
            </w:r>
          </w:p>
        </w:tc>
      </w:tr>
      <w:tr>
        <w:tc>
          <w:tcPr>
            <w:tcW w:type="dxa" w:w="708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tcPr>
          <w:p>
            <w:r>
              <w:rPr>
                <w:rFonts w:ascii="Calibri" w:cs="Calibri" w:eastAsia="Calibri" w:hAnsi="Calibri"/>
                <w:b/>
                <w:bCs/>
                <w:color w:val="FFFFFF"/>
                <w:sz w:val="22"/>
                <w:szCs w:val="22"/>
              </w:rPr>
              <w:t xml:space="preserve">TOTAL</w:t>
            </w:r>
          </w:p>
        </w:tc>
        <w:tc>
          <w:tcPr>
            <w:tcW w:type="dxa" w:w="300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tcPr>
          <w:p>
            <w:pPr>
              <w:jc w:val="right"/>
            </w:pPr>
            <w:r>
              <w:rPr>
                <w:rFonts w:ascii="Calibri" w:cs="Calibri" w:eastAsia="Calibri" w:hAnsi="Calibri"/>
                <w:b/>
                <w:bCs/>
                <w:color w:val="FFFFFF"/>
                <w:sz w:val="22"/>
                <w:szCs w:val="22"/>
              </w:rPr>
              <w:t xml:space="preserve">520,000</w:t>
            </w:r>
          </w:p>
        </w:tc>
      </w:tr>
    </w:tbl>
    <w:p>
      <w:pPr>
        <w:spacing w:after="0" w:before="0"/>
      </w:pPr>
      <w:r>
        <w:rPr>
          <w:rFonts w:ascii="Calibri" w:cs="Calibri" w:eastAsia="Calibri" w:hAnsi="Calibri"/>
          <w:sz w:val="10"/>
          <w:szCs w:val="10"/>
        </w:rPr>
        <w:t xml:space="preserve"/>
      </w:r>
    </w:p>
    <w:p>
      <w:pPr>
        <w:spacing w:after="60" w:before="60"/>
      </w:pPr>
      <w:r>
        <w:rPr>
          <w:rFonts w:ascii="Calibri" w:cs="Calibri" w:eastAsia="Calibri" w:hAnsi="Calibri"/>
          <w:b w:val="false"/>
          <w:bCs w:val="false"/>
          <w:color w:val="1A1A2E"/>
          <w:sz w:val="20"/>
          <w:szCs w:val="20"/>
        </w:rPr>
        <w:t xml:space="preserve">Note: Claude API usage costs (consumption-based) are to be borne by the client separately.</w:t>
      </w:r>
    </w:p>
    <w:p>
      <w:pPr>
        <w:spacing w:after="0" w:before="0"/>
      </w:pPr>
      <w:r>
        <w:rPr>
          <w:rFonts w:ascii="Calibri" w:cs="Calibri" w:eastAsia="Calibri" w:hAnsi="Calibri"/>
          <w:sz w:val="10"/>
          <w:szCs w:val="10"/>
        </w:rPr>
        <w:t xml:space="preserve"/>
      </w:r>
    </w:p>
    <w:p>
      <w:pPr>
        <w:pBdr>
          <w:bottom w:val="single" w:color="2E75B6" w:sz="6" w:space="6"/>
        </w:pBdr>
        <w:spacing w:after="120" w:before="320"/>
      </w:pPr>
      <w:r>
        <w:rPr>
          <w:rFonts w:ascii="Calibri" w:cs="Calibri" w:eastAsia="Calibri" w:hAnsi="Calibri"/>
          <w:b/>
          <w:bCs/>
          <w:color w:val="1F4E79"/>
          <w:sz w:val="32"/>
          <w:szCs w:val="32"/>
        </w:rPr>
        <w:t xml:space="preserve">9.  Change Management</w:t>
      </w:r>
    </w:p>
    <w:p>
      <w:pPr>
        <w:spacing w:after="60" w:before="60"/>
      </w:pPr>
      <w:r>
        <w:rPr>
          <w:rFonts w:ascii="Calibri" w:cs="Calibri" w:eastAsia="Calibri" w:hAnsi="Calibri"/>
          <w:b w:val="false"/>
          <w:bCs w:val="false"/>
          <w:color w:val="1A1A2E"/>
          <w:sz w:val="20"/>
          <w:szCs w:val="20"/>
        </w:rPr>
        <w:t xml:space="preserve">Any changes to the agreed scope must be submitted in writing and will be subject to an impact assessment on budget and timeline. Changes approved by both parties will be documented as formal amendments to this scope of work.</w:t>
      </w:r>
    </w:p>
    <w:p>
      <w:pPr>
        <w:spacing w:after="0" w:before="0"/>
      </w:pPr>
      <w:r>
        <w:rPr>
          <w:rFonts w:ascii="Calibri" w:cs="Calibri" w:eastAsia="Calibri" w:hAnsi="Calibri"/>
          <w:sz w:val="10"/>
          <w:szCs w:val="10"/>
        </w:rPr>
        <w:t xml:space="preserve"/>
      </w:r>
    </w:p>
    <w:p>
      <w:pPr>
        <w:pBdr>
          <w:bottom w:val="single" w:color="2E75B6" w:sz="6" w:space="6"/>
        </w:pBdr>
        <w:spacing w:after="120" w:before="320"/>
      </w:pPr>
      <w:r>
        <w:rPr>
          <w:rFonts w:ascii="Calibri" w:cs="Calibri" w:eastAsia="Calibri" w:hAnsi="Calibri"/>
          <w:b/>
          <w:bCs/>
          <w:color w:val="1F4E79"/>
          <w:sz w:val="32"/>
          <w:szCs w:val="32"/>
        </w:rPr>
        <w:t xml:space="preserve">10.  Sign-Off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3060"/>
        <w:gridCol w:w="2500"/>
        <w:gridCol w:w="2000"/>
      </w:tblGrid>
      <w:tr>
        <w:tc>
          <w:tcPr>
            <w:tcW w:type="dxa" w:w="252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center"/>
            </w:pPr>
            <w:r>
              <w:rPr>
                <w:rFonts w:ascii="Calibri" w:cs="Calibri" w:eastAsia="Calibri" w:hAnsi="Calibri"/>
                <w:b/>
                <w:bCs/>
                <w:color w:val="FFFFFF"/>
                <w:sz w:val="20"/>
                <w:szCs w:val="20"/>
              </w:rPr>
              <w:t xml:space="preserve">Role</w:t>
            </w:r>
          </w:p>
        </w:tc>
        <w:tc>
          <w:tcPr>
            <w:tcW w:type="dxa" w:w="306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center"/>
            </w:pPr>
            <w:r>
              <w:rPr>
                <w:rFonts w:ascii="Calibri" w:cs="Calibri" w:eastAsia="Calibri" w:hAnsi="Calibri"/>
                <w:b/>
                <w:bCs/>
                <w:color w:val="FFFFFF"/>
                <w:sz w:val="20"/>
                <w:szCs w:val="20"/>
              </w:rPr>
              <w:t xml:space="preserve">Name</w:t>
            </w:r>
          </w:p>
        </w:tc>
        <w:tc>
          <w:tcPr>
            <w:tcW w:type="dxa" w:w="250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center"/>
            </w:pPr>
            <w:r>
              <w:rPr>
                <w:rFonts w:ascii="Calibri" w:cs="Calibri" w:eastAsia="Calibri" w:hAnsi="Calibri"/>
                <w:b/>
                <w:bCs/>
                <w:color w:val="FFFFFF"/>
                <w:sz w:val="20"/>
                <w:szCs w:val="20"/>
              </w:rPr>
              <w:t xml:space="preserve">Signature</w:t>
            </w:r>
          </w:p>
        </w:tc>
        <w:tc>
          <w:tcPr>
            <w:tcW w:type="dxa" w:w="200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center"/>
            </w:pPr>
            <w:r>
              <w:rPr>
                <w:rFonts w:ascii="Calibri" w:cs="Calibri" w:eastAsia="Calibri" w:hAnsi="Calibri"/>
                <w:b/>
                <w:bCs/>
                <w:color w:val="FFFFFF"/>
                <w:sz w:val="20"/>
                <w:szCs w:val="20"/>
              </w:rPr>
              <w:t xml:space="preserve">Date</w:t>
            </w:r>
          </w:p>
        </w:tc>
      </w:tr>
      <w:tr>
        <w:tc>
          <w:tcPr>
            <w:tcW w:type="dxa" w:w="2520"/>
            <w:gridSpan w:val="1"/>
            <w:tcBorders>
              <w:top w:val="single" w:color="CCCCCC" w:sz="1"/>
              <w:left w:val="single" w:color="CCCCCC" w:sz="1"/>
              <w:bottom w:val="single" w:color="CCCCCC" w:sz="1"/>
              <w:right w:val="single" w:color="CCCCCC" w:sz="1"/>
            </w:tcBorders>
            <w:shd w:fill="D6E4F0" w:val="clear"/>
            <w:tcMar>
              <w:top w:type="dxa" w:w="100"/>
              <w:left w:type="dxa" w:w="150"/>
              <w:bottom w:type="dxa" w:w="100"/>
              <w:right w:type="dxa" w:w="150"/>
            </w:tcMar>
            <w:vAlign w:val="center"/>
          </w:tcPr>
          <w:p>
            <w:pPr>
              <w:jc w:val="left"/>
            </w:pPr>
            <w:r>
              <w:rPr>
                <w:rFonts w:ascii="Calibri" w:cs="Calibri" w:eastAsia="Calibri" w:hAnsi="Calibri"/>
                <w:b w:val="false"/>
                <w:bCs w:val="false"/>
                <w:color w:val="1A1A2E"/>
                <w:sz w:val="20"/>
                <w:szCs w:val="20"/>
              </w:rPr>
              <w:t xml:space="preserve">Client Representative</w:t>
            </w:r>
          </w:p>
        </w:tc>
        <w:tc>
          <w:tcPr>
            <w:tcW w:type="dxa" w:w="3060"/>
            <w:gridSpan w:val="1"/>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Calibri" w:cs="Calibri" w:eastAsia="Calibri" w:hAnsi="Calibri"/>
                <w:b w:val="false"/>
                <w:bCs w:val="false"/>
                <w:color w:val="1A1A2E"/>
                <w:sz w:val="20"/>
                <w:szCs w:val="20"/>
              </w:rPr>
              <w:t xml:space="preserve"/>
            </w:r>
          </w:p>
        </w:tc>
        <w:tc>
          <w:tcPr>
            <w:tcW w:type="dxa" w:w="2500"/>
            <w:gridSpan w:val="1"/>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Calibri" w:cs="Calibri" w:eastAsia="Calibri" w:hAnsi="Calibri"/>
                <w:b w:val="false"/>
                <w:bCs w:val="false"/>
                <w:color w:val="1A1A2E"/>
                <w:sz w:val="20"/>
                <w:szCs w:val="20"/>
              </w:rPr>
              <w:t xml:space="preserve"/>
            </w:r>
          </w:p>
        </w:tc>
        <w:tc>
          <w:tcPr>
            <w:tcW w:type="dxa" w:w="2000"/>
            <w:gridSpan w:val="1"/>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Calibri" w:cs="Calibri" w:eastAsia="Calibri" w:hAnsi="Calibri"/>
                <w:b w:val="false"/>
                <w:bCs w:val="false"/>
                <w:color w:val="1A1A2E"/>
                <w:sz w:val="20"/>
                <w:szCs w:val="20"/>
              </w:rPr>
              <w:t xml:space="preserve"/>
            </w:r>
          </w:p>
        </w:tc>
      </w:tr>
      <w:tr>
        <w:tc>
          <w:tcPr>
            <w:tcW w:type="dxa" w:w="2520"/>
            <w:gridSpan w:val="1"/>
            <w:tcBorders>
              <w:top w:val="single" w:color="CCCCCC" w:sz="1"/>
              <w:left w:val="single" w:color="CCCCCC" w:sz="1"/>
              <w:bottom w:val="single" w:color="CCCCCC" w:sz="1"/>
              <w:right w:val="single" w:color="CCCCCC" w:sz="1"/>
            </w:tcBorders>
            <w:shd w:fill="D6E4F0" w:val="clear"/>
            <w:tcMar>
              <w:top w:type="dxa" w:w="100"/>
              <w:left w:type="dxa" w:w="150"/>
              <w:bottom w:type="dxa" w:w="100"/>
              <w:right w:type="dxa" w:w="150"/>
            </w:tcMar>
            <w:vAlign w:val="center"/>
          </w:tcPr>
          <w:p>
            <w:pPr>
              <w:jc w:val="left"/>
            </w:pPr>
            <w:r>
              <w:rPr>
                <w:rFonts w:ascii="Calibri" w:cs="Calibri" w:eastAsia="Calibri" w:hAnsi="Calibri"/>
                <w:b w:val="false"/>
                <w:bCs w:val="false"/>
                <w:color w:val="1A1A2E"/>
                <w:sz w:val="20"/>
                <w:szCs w:val="20"/>
              </w:rPr>
              <w:t xml:space="preserve">Project Lead</w:t>
            </w:r>
          </w:p>
        </w:tc>
        <w:tc>
          <w:tcPr>
            <w:tcW w:type="dxa" w:w="3060"/>
            <w:gridSpan w:val="1"/>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Calibri" w:cs="Calibri" w:eastAsia="Calibri" w:hAnsi="Calibri"/>
                <w:b w:val="false"/>
                <w:bCs w:val="false"/>
                <w:color w:val="1A1A2E"/>
                <w:sz w:val="20"/>
                <w:szCs w:val="20"/>
              </w:rPr>
              <w:t xml:space="preserve"/>
            </w:r>
          </w:p>
        </w:tc>
        <w:tc>
          <w:tcPr>
            <w:tcW w:type="dxa" w:w="2500"/>
            <w:gridSpan w:val="1"/>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Calibri" w:cs="Calibri" w:eastAsia="Calibri" w:hAnsi="Calibri"/>
                <w:b w:val="false"/>
                <w:bCs w:val="false"/>
                <w:color w:val="1A1A2E"/>
                <w:sz w:val="20"/>
                <w:szCs w:val="20"/>
              </w:rPr>
              <w:t xml:space="preserve"/>
            </w:r>
          </w:p>
        </w:tc>
        <w:tc>
          <w:tcPr>
            <w:tcW w:type="dxa" w:w="2000"/>
            <w:gridSpan w:val="1"/>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Calibri" w:cs="Calibri" w:eastAsia="Calibri" w:hAnsi="Calibri"/>
                <w:b w:val="false"/>
                <w:bCs w:val="false"/>
                <w:color w:val="1A1A2E"/>
                <w:sz w:val="20"/>
                <w:szCs w:val="20"/>
              </w:rPr>
              <w:t xml:space="preserve"/>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80"/>
      <w:jc w:val="right"/>
    </w:pPr>
    <w:r>
      <w:rPr>
        <w:rFonts w:ascii="Calibri" w:cs="Calibri" w:eastAsia="Calibri" w:hAnsi="Calibri"/>
        <w:color w:val="888888"/>
        <w:sz w:val="18"/>
        <w:szCs w:val="18"/>
      </w:rPr>
      <w:t xml:space="preserve">Confidential  —  Page </w:t>
    </w:r>
    <w:r>
      <w:rPr>
        <w:rFonts w:ascii="Calibri" w:cs="Calibri" w:eastAsia="Calibri" w:hAnsi="Calibri"/>
        <w:color w:val="888888"/>
        <w:sz w:val="18"/>
        <w:szCs w:val="18"/>
      </w:rPr>
      <w:fldChar w:fldCharType="begin"/>
      <w:instrText xml:space="preserve">PAGE</w:instrText>
      <w:fldChar w:fldCharType="separate"/>
      <w:fldChar w:fldCharType="end"/>
    </w:r>
    <w:r>
      <w:rPr>
        <w:rFonts w:ascii="Calibri" w:cs="Calibri" w:eastAsia="Calibri" w:hAnsi="Calibri"/>
        <w:color w:val="888888"/>
        <w:sz w:val="18"/>
        <w:szCs w:val="18"/>
      </w:rPr>
      <w:t xml:space="preserve"> of </w:t>
    </w:r>
    <w:r>
      <w:rPr>
        <w:rFonts w:ascii="Calibri" w:cs="Calibri" w:eastAsia="Calibri" w:hAnsi="Calibri"/>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6"/>
      </w:pBdr>
      <w:spacing w:after="80"/>
    </w:pPr>
    <w:r>
      <w:rPr>
        <w:rFonts w:ascii="Calibri" w:cs="Calibri" w:eastAsia="Calibri" w:hAnsi="Calibri"/>
        <w:b/>
        <w:bCs/>
        <w:color w:val="1F4E79"/>
        <w:sz w:val="20"/>
        <w:szCs w:val="20"/>
      </w:rPr>
      <w:t xml:space="preserve">ScanWell (Pvt) Ltd</w:t>
    </w:r>
    <w:r>
      <w:rPr>
        <w:rFonts w:ascii="Calibri" w:cs="Calibri" w:eastAsia="Calibri" w:hAnsi="Calibri"/>
        <w:color w:val="666666"/>
        <w:sz w:val="20"/>
        <w:szCs w:val="20"/>
      </w:rPr>
      <w:t xml:space="preserve">   —   AI Integration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2026-04-02T06:02:39.687Z</dcterms:created>
  <dcterms:modified xsi:type="dcterms:W3CDTF">2026-04-02T06:02:39.688Z</dcterms:modified>
</cp:coreProperties>
</file>

<file path=docProps/custom.xml><?xml version="1.0" encoding="utf-8"?>
<Properties xmlns="http://schemas.openxmlformats.org/officeDocument/2006/custom-properties" xmlns:vt="http://schemas.openxmlformats.org/officeDocument/2006/docPropsVTypes"/>
</file>