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Examine immune cells by morphology with </w:t>
            </w:r>
            <w:proofErr w:type="spellStart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Leishman</w:t>
            </w:r>
            <w:proofErr w:type="spellEnd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Giemsa</w:t>
            </w:r>
            <w:proofErr w:type="spellEnd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 staining.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743988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43988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43988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43988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43988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Perform Latex Agglutination Test for Rheumatoid Arthritis (RA).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914711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914711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914711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914711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914711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Perform Latex Agglutination Test for ASO (</w:t>
            </w:r>
            <w:proofErr w:type="spellStart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Antistreptolysin</w:t>
            </w:r>
            <w:proofErr w:type="spellEnd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 O).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BA3E1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BA3E1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BA3E1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BA3E1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BA3E1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Demonstrate agglutination reaction using latex particles – CRP test.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F9001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F9001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F9001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F9001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F9001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6606BA" w:rsidRDefault="006606BA" w:rsidP="00F169C9"/>
    <w:p w:rsidR="006606BA" w:rsidRDefault="006606BA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Perform and interpret forward grouping, reverse grouping and Rh typing.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323E7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23E7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23E7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23E7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23E7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6606BA" w:rsidRDefault="006606BA" w:rsidP="00F169C9"/>
    <w:p w:rsidR="006606BA" w:rsidRDefault="006606BA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Experiment on separation and preservation of plasma and serum.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5D780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5D780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5D780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5D780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5D780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Demonstrate antigen–antibody reaction in </w:t>
            </w:r>
            <w:proofErr w:type="spellStart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Widal</w:t>
            </w:r>
            <w:proofErr w:type="spellEnd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7548C9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48C9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48C9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48C9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48C9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Demonstrate principle of flocculation with Rapid Plasma </w:t>
            </w:r>
            <w:proofErr w:type="spellStart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Reagin</w:t>
            </w:r>
            <w:proofErr w:type="spellEnd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 test.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35442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5442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5442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5442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354420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Experiment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immune </w:t>
            </w: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diffusion techniques – Radial and </w:t>
            </w:r>
            <w:proofErr w:type="spellStart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Ouchterlony</w:t>
            </w:r>
            <w:proofErr w:type="spellEnd"/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 double diffusion.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0023C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0023C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0023C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0023C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0023CC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606BA" w:rsidRPr="00CA1012" w:rsidRDefault="006606BA" w:rsidP="006606BA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 xml:space="preserve">Experiment on detection of antigens by rocket and counter current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immune </w:t>
            </w: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electrophoresis.</w:t>
            </w:r>
          </w:p>
          <w:p w:rsidR="009F676E" w:rsidRDefault="009F676E" w:rsidP="00530747">
            <w:bookmarkStart w:id="0" w:name="_GoBack"/>
            <w:bookmarkEnd w:id="0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06BA" w:rsidRPr="00EA7A6B" w:rsidTr="0075756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756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756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756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6BA" w:rsidRPr="00EA7A6B" w:rsidTr="00757566">
        <w:trPr>
          <w:trHeight w:val="454"/>
          <w:jc w:val="center"/>
        </w:trPr>
        <w:tc>
          <w:tcPr>
            <w:tcW w:w="479" w:type="pct"/>
          </w:tcPr>
          <w:p w:rsidR="006606BA" w:rsidRPr="00CA1012" w:rsidRDefault="006606BA" w:rsidP="00A10898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06BA" w:rsidRPr="00CA1012" w:rsidRDefault="006606BA" w:rsidP="00A10898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06BA" w:rsidRPr="00CA1012" w:rsidRDefault="006606BA" w:rsidP="00A10898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06BA" w:rsidRPr="00EA7A6B" w:rsidRDefault="006606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C2A" w:rsidRDefault="004E0C2A" w:rsidP="00F169C9">
      <w:pPr>
        <w:spacing w:after="0" w:line="240" w:lineRule="auto"/>
      </w:pPr>
      <w:r>
        <w:separator/>
      </w:r>
    </w:p>
  </w:endnote>
  <w:endnote w:type="continuationSeparator" w:id="0">
    <w:p w:rsidR="004E0C2A" w:rsidRDefault="004E0C2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C2A" w:rsidRDefault="004E0C2A" w:rsidP="00F169C9">
      <w:pPr>
        <w:spacing w:after="0" w:line="240" w:lineRule="auto"/>
      </w:pPr>
      <w:r>
        <w:separator/>
      </w:r>
    </w:p>
  </w:footnote>
  <w:footnote w:type="continuationSeparator" w:id="0">
    <w:p w:rsidR="004E0C2A" w:rsidRDefault="004E0C2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E0C2A"/>
    <w:rsid w:val="004F63C2"/>
    <w:rsid w:val="00534748"/>
    <w:rsid w:val="00536930"/>
    <w:rsid w:val="006606BA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06B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2025-10-26T10:21:00Z</dcterms:modified>
</cp:coreProperties>
</file>