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2B49B5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2B49B5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r>
        <w:t>Annexure  A</w:t>
      </w:r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Technical Content Accuracy(3)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Problem Identification(2.5)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Use of Tools(2)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2B49B5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r>
        <w:t>Annexure  A</w:t>
      </w:r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DSS is an interactive system that combines data, analytical models and a user interface to support managerial decisions. Applications include banking and healthcare. Advantages: better analysis and faster decisions. Limitations: depends on data quality and models.</w: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OLTP handles current, detailed, transaction-oriented data for operational users; OLAP/DSS handles integrated historical data for analysis by managers. OLTP emphasizes fast updates, while OLAP emphasizes complex queries. They interact when OLTP data is integrated into the warehouse.</w: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A data warehouse is a subject-oriented, integrated, time-variant and non-volatile repository. Three-tier architecture: bottom—data sources/ETL and warehouse; middle—OLAP server; top—reporting, analysis and visualization tools. Data marts and metadata improve access and understanding.</w: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OLAP supports multidimensional analysis through data cubes. Main operations are roll-up, drill-down, slice and dice. Cubes contain dimensions and measures and help users analyze trends, summaries and detailed patterns.</w: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5: Dimensional Data Modeling</w:t>
      </w:r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Dimensional modeling organizes data into fact and dimension tables. Star schema has a central fact table with directly connected dimensions; snowflake normalizes dimensions. Design identifies grain, facts, dimensions and hierarchies. Example: sales fact with time, product and customer dimensions.</w: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Query processing includes parsing, query optimization and execution. Optimization selects efficient access paths, joins and indexes. BI tools provide reporting and visualization. Examples include KNIME and other open-source analytics/BI platforms.</w: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2B49B5" w:rsidP="002D5BE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KNIME uses nodes connected into workflows. Data can be loaded, transformed, aggregated and analyzed, followed by OLAP-style summaries and visual reports. Example: load sales data → filter/group → aggregate by product/time → visualize → generate report.</w: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2B49B5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2B49B5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2B49B5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2B49B5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A074BE1-C930-9847-B592-4E61C80E7F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BF56027-D157-0941-A07A-4CEA6FE42994}"/>
    <w:embedBold r:id="rId3" w:fontKey="{741D0E60-9E31-CD4F-89DA-556576210600}"/>
    <w:embedItalic r:id="rId4" w:fontKey="{F0F4C2A9-F22C-4347-A514-0B3A1F3A4866}"/>
    <w:embedBoldItalic r:id="rId5" w:fontKey="{1D5768DA-CE5D-6F4E-8170-2E4E0BB8B1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D2205AB6-0746-8C4A-836C-139CD283B29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549070B-773E-0249-9011-16BDB20D05A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709E6A6C-8607-954B-A22D-D106D833AAB2}"/>
    <w:embedItalic r:id="rId9" w:fontKey="{3592452E-6402-0949-AFE2-BE41CA2AA8DB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5" w:fontKey="{3528101F-99FF-CE4D-9F7C-83E3E383C7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CB996D55-A61B-2341-B2A4-2BE554C042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8</cp:revision>
  <dcterms:created xsi:type="dcterms:W3CDTF">2026-04-07T23:38:00Z</dcterms:created>
  <dcterms:modified xsi:type="dcterms:W3CDTF">2026-05-03T15:09:00Z</dcterms:modified>
</cp:coreProperties>
</file>