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D72B1" w:rsidP="002D5BE1">
      <w:pPr>
        <w:rPr>
          <w:b/>
          <w:bCs/>
        </w:rPr>
      </w:pPr>
      <w:r>
        <w:rPr>
          <w:sz w:val="22"/>
          <w:szCs w:val="22"/>
        </w:rPr>
      </w:r>
      <w:r>
        <w:rPr>
          <w:sz w:val="22"/>
          <w:szCs w:val="22"/>
        </w:rPr>
        <w:pict w14:anchorId="54E14C61">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D72B1" w:rsidP="002D5BE1">
      <w:r>
        <w:pict w14:anchorId="3E846CBA">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r w:rsidRPr="00C103C4">
              <w:rPr>
                <w:b/>
                <w:bCs/>
                <w:i/>
                <w:iCs/>
                <w:color w:val="000000"/>
                <w:sz w:val="20"/>
                <w:szCs w:val="20"/>
              </w:rPr>
              <w:t>Total(10)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D72B1" w:rsidP="002D5BE1">
      <w:pPr>
        <w:rPr>
          <w:b/>
          <w:bCs/>
        </w:rPr>
      </w:pPr>
      <w:r>
        <w:pict w14:anchorId="7A92141A">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77777777" w:rsidR="00082264" w:rsidRDefault="00082264" w:rsidP="002D5BE1">
      <w:pPr>
        <w:jc w:val="both"/>
        <w:rPr>
          <w:i/>
          <w:iCs/>
        </w:rPr>
      </w:pPr>
      <w:r>
        <w:rPr>
          <w:i/>
          <w:iCs/>
        </w:rPr>
        <w:t>I ____________________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r w:rsidRPr="00CF4F20">
        <w:rPr>
          <w:b/>
          <w:bCs/>
        </w:rPr>
        <w:t>Annexure  A</w:t>
      </w:r>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D72B1" w:rsidP="00004F24">
      <w:pPr>
        <w:spacing w:after="40" w:line="240" w:lineRule="auto"/>
      </w:pPr>
      <w:r>
        <w:rPr>
          <w:b w:val="0"/>
          <w:sz w:val="19"/>
        </w:rPr>
      </w:r>
      <w:r>
        <w:rPr>
          <w:b/>
        </w:rPr>
        <w:t>ANSWER: SSE drops sharply from 600 (K=1) to 350 (K=2) and 220 (K=3), then the improvement becomes much smaller (200 and 190). The elbow is around K=3. Therefore, choose 3 clusters. This gives a good balance between within-cluster compactness and model simplicity for patient segmentation.</w: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14:paraId="7527D9A0" w14:textId="77777777" w:rsidR="00004F24" w:rsidRDefault="000D72B1" w:rsidP="00004F24">
      <w:pPr>
        <w:spacing w:after="40" w:line="240" w:lineRule="auto"/>
      </w:pPr>
      <w:r>
        <w:rPr>
          <w:b w:val="0"/>
          <w:sz w:val="19"/>
        </w:rPr>
      </w:r>
      <w:r>
        <w:rPr>
          <w:b/>
        </w:rPr>
        <w:t>ANSWER: Hierarchical clustering starts with each order as a separate cluster and merges the closest clusters according to the linkage criterion. The exact number of clusters must be selected by cutting the dendrogram at an appropriate height. The supplied text does not include the dendrogram distances, so the exact cut cannot be uniquely determined. From the data, two broad groups are reasonable: high-value Electronics orders (₹55k–₹57k) and lower-value Clothing/Furniture orders (₹25k–₹30k).</w:t>
      </w:r>
    </w:p>
    <w:p w14:paraId="14D4B3E8" w14:textId="77777777" w:rsidR="00004F24" w:rsidRDefault="00004F24" w:rsidP="00004F24">
      <w:pPr>
        <w:pStyle w:val="Heading3"/>
        <w:rPr>
          <w:color w:val="000000"/>
        </w:rPr>
      </w:pPr>
      <w:r>
        <w:rPr>
          <w:color w:val="000000"/>
        </w:rPr>
        <w:t>Q3. Dataset: Mobile App User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algorithm to segment users based on their activity patterns. Interpret how users are assigned to clusters using probability-based membership values. Discuss the advantages of soft clustering over hard clustering for customer behavior analysis.</w:t>
      </w:r>
    </w:p>
    <w:p w14:paraId="352DD58D" w14:textId="77777777" w:rsidR="00004F24" w:rsidRDefault="000D72B1" w:rsidP="00004F24">
      <w:pPr>
        <w:spacing w:after="40" w:line="240" w:lineRule="auto"/>
      </w:pPr>
      <w:r>
        <w:rPr>
          <w:b w:val="0"/>
          <w:sz w:val="19"/>
        </w:rPr>
      </w:r>
      <w:r>
        <w:rPr>
          <w:b/>
        </w:rPr>
        <w:t>ANSWER: Soft clustering assigns each user a membership probability to multiple clusters instead of forcing a single label. For example, a user with membership 0.70 in Cluster A and 0.30 in Cluster B is mainly A but also shares characteristics with B. This is useful for customer behavior because users can transition between segments. Advantages: handles overlap, expresses uncertainty, supports personalized recommendations and captures gradual behavioral changes.</w: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D72B1" w:rsidP="00004F24">
      <w:pPr>
        <w:spacing w:after="40" w:line="240" w:lineRule="auto"/>
      </w:pPr>
      <w:r>
        <w:rPr>
          <w:b w:val="0"/>
          <w:sz w:val="19"/>
        </w:rPr>
      </w:r>
      <w:r>
        <w:rPr>
          <w:b/>
        </w:rPr>
        <w:t>ANSWER: Without normalization, variables measured on larger scales can dominate distance calculations. After normalization, features such as rainfall, soil fertility and crop yield contribute more comparably. Thus clusters are driven by overall patterns rather than measurement units. Normalization improves stability and makes agricultural comparisons more reliable, especially when attributes have very different ranges.</w: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lastRenderedPageBreak/>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14:paraId="0A87FA69" w14:textId="77777777" w:rsidR="00B40688" w:rsidRDefault="00B40688" w:rsidP="00800837">
      <w:pPr>
        <w:spacing w:after="40" w:line="240" w:lineRule="auto"/>
        <w:rPr>
          <w:b/>
          <w:bCs/>
          <w:sz w:val="34"/>
          <w:szCs w:val="34"/>
        </w:rPr>
      </w:pPr>
      <w:r>
        <w:rPr>
          <w:b w:val="0"/>
          <w:sz w:val="19"/>
        </w:rPr>
      </w:r>
      <w:r>
        <w:rPr>
          <w:b/>
        </w:rPr>
        <w:t>ANSWER: Silhouette scores: K=2 → 0.48, K=3 → 0.68, K=4 → 0.52. The highest score is 0.68 at K=3, indicating the best balance of cohesion and separation. Therefore select 3 clusters. The resulting employee segments can support targeted training, performance review and workforce planning.</w:t>
      </w: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9830BE2-BD63-9243-9CFF-9AB43BE5EF37}"/>
  </w:font>
  <w:font w:name="Times New Roman">
    <w:panose1 w:val="02020603050405020304"/>
    <w:charset w:val="00"/>
    <w:family w:val="roman"/>
    <w:pitch w:val="variable"/>
    <w:sig w:usb0="E0002EFF" w:usb1="C000785B" w:usb2="00000009" w:usb3="00000000" w:csb0="000001FF" w:csb1="00000000"/>
    <w:embedRegular r:id="rId2" w:fontKey="{EFCC94E4-952E-9F4E-BA52-6C97F92DC149}"/>
    <w:embedBold r:id="rId3" w:fontKey="{0F713E55-3C51-A240-AE63-676738EF6999}"/>
    <w:embedItalic r:id="rId4" w:fontKey="{8B0C1DB3-AB49-9840-A52C-A3704C32B754}"/>
    <w:embedBoldItalic r:id="rId5" w:fontKey="{B8A89F09-2937-184B-AA48-9BB4000DB4FD}"/>
  </w:font>
  <w:font w:name="Courier New">
    <w:panose1 w:val="02070309020205020404"/>
    <w:charset w:val="00"/>
    <w:family w:val="modern"/>
    <w:pitch w:val="fixed"/>
    <w:sig w:usb0="E0002EFF" w:usb1="C0007843" w:usb2="00000009" w:usb3="00000000" w:csb0="000001FF" w:csb1="00000000"/>
    <w:embedRegular r:id="rId6" w:fontKey="{8ACBBF78-C906-C644-8333-771A727231E5}"/>
  </w:font>
  <w:font w:name="Wingdings">
    <w:panose1 w:val="05000000000000000000"/>
    <w:charset w:val="4D"/>
    <w:family w:val="decorative"/>
    <w:pitch w:val="variable"/>
    <w:sig w:usb0="00000003" w:usb1="00000000" w:usb2="00000000" w:usb3="00000000" w:csb0="80000001" w:csb1="00000000"/>
    <w:embedRegular r:id="rId7" w:fontKey="{EA13844C-7DEB-1343-AF36-83E64AB258D8}"/>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CFAD00F5-C53C-7341-B8FF-6B1C5E3206DE}"/>
    <w:embedBold r:id="rId10" w:fontKey="{8BB53158-2777-4B4C-8F53-B6F586F97976}"/>
    <w:embedItalic r:id="rId11" w:fontKey="{1DC62803-6343-A842-B4B0-9A77645EE187}"/>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embedRegular r:id="rId16" w:fontKey="{810599AB-863B-184A-B0B4-15EBE1C8FFE3}"/>
  </w:font>
  <w:font w:name="Cambria">
    <w:panose1 w:val="02040503050406030204"/>
    <w:charset w:val="00"/>
    <w:family w:val="roman"/>
    <w:pitch w:val="variable"/>
    <w:sig w:usb0="E00002FF" w:usb1="400004FF" w:usb2="00000000" w:usb3="00000000" w:csb0="0000019F" w:csb1="00000000"/>
    <w:embedRegular r:id="rId17" w:fontKey="{17452CCE-CE2E-4340-A84C-E3A9FA3BD8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270AD8"/>
    <w:rsid w:val="002766C8"/>
    <w:rsid w:val="002D14FC"/>
    <w:rsid w:val="00514854"/>
    <w:rsid w:val="005C0F8A"/>
    <w:rsid w:val="005F5BD4"/>
    <w:rsid w:val="00672994"/>
    <w:rsid w:val="006D357E"/>
    <w:rsid w:val="007004BC"/>
    <w:rsid w:val="007A706A"/>
    <w:rsid w:val="00800837"/>
    <w:rsid w:val="00890D9E"/>
    <w:rsid w:val="0095434D"/>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8</cp:revision>
  <cp:lastPrinted>2026-06-01T23:52:00Z</cp:lastPrinted>
  <dcterms:created xsi:type="dcterms:W3CDTF">2026-04-08T00:14:00Z</dcterms:created>
  <dcterms:modified xsi:type="dcterms:W3CDTF">2026-06-01T23:53:00Z</dcterms:modified>
</cp:coreProperties>
</file>