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52"/>
        </w:rPr>
        <w:t>Glimmora International</w:t>
      </w:r>
    </w:p>
    <w:p>
      <w:pPr>
        <w:jc w:val="center"/>
      </w:pPr>
      <w:r>
        <w:rPr>
          <w:color w:val="2E86C1"/>
          <w:sz w:val="22"/>
        </w:rPr>
        <w:t>info@glimmora.ai</w:t>
      </w:r>
    </w:p>
    <w:p/>
    <w:p/>
    <w:p>
      <w:pPr>
        <w:jc w:val="center"/>
      </w:pPr>
      <w:r>
        <w:rPr>
          <w:b/>
          <w:color w:val="222222"/>
          <w:sz w:val="40"/>
        </w:rPr>
        <w:t>STATEMENT OF WORK</w:t>
      </w:r>
    </w:p>
    <w:p>
      <w:pPr>
        <w:jc w:val="center"/>
      </w:pPr>
      <w:r>
        <w:rPr>
          <w:b/>
          <w:color w:val="2E86C1"/>
          <w:sz w:val="32"/>
        </w:rPr>
        <w:t>GRC Platform</w:t>
      </w:r>
    </w:p>
    <w:p>
      <w:pPr>
        <w:jc w:val="center"/>
      </w:pPr>
      <w:r>
        <w:rPr>
          <w:i/>
          <w:color w:val="555555"/>
          <w:sz w:val="22"/>
        </w:rPr>
        <w:t>Implementation of an integrated Governance, Risk &amp; Compliance solution</w:t>
      </w:r>
    </w:p>
    <w:p/>
    <w:p/>
    <w:p/>
    <w:p/>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EAF1F8"/>
          </w:tcPr>
          <w:p>
            <w:r>
              <w:rPr>
                <w:b/>
                <w:color w:val="1F3A5F"/>
              </w:rPr>
              <w:t>Document Title</w:t>
            </w:r>
          </w:p>
        </w:tc>
        <w:tc>
          <w:tcPr>
            <w:tcW w:type="dxa" w:w="5472"/>
          </w:tcPr>
          <w:p>
            <w:r>
              <w:t>Statement of Work — GRC Platform</w:t>
            </w:r>
          </w:p>
        </w:tc>
      </w:tr>
      <w:tr>
        <w:tc>
          <w:tcPr>
            <w:tcW w:type="dxa" w:w="3168"/>
            <w:shd w:val="clear" w:color="auto" w:fill="EAF1F8"/>
          </w:tcPr>
          <w:p>
            <w:r>
              <w:rPr>
                <w:b/>
                <w:color w:val="1F3A5F"/>
              </w:rPr>
              <w:t>Prepared By</w:t>
            </w:r>
          </w:p>
        </w:tc>
        <w:tc>
          <w:tcPr>
            <w:tcW w:type="dxa" w:w="5472"/>
          </w:tcPr>
          <w:p>
            <w:r>
              <w:t>Glimmora International</w:t>
            </w:r>
          </w:p>
        </w:tc>
      </w:tr>
      <w:tr>
        <w:tc>
          <w:tcPr>
            <w:tcW w:type="dxa" w:w="3168"/>
            <w:shd w:val="clear" w:color="auto" w:fill="EAF1F8"/>
          </w:tcPr>
          <w:p>
            <w:r>
              <w:rPr>
                <w:b/>
                <w:color w:val="1F3A5F"/>
              </w:rPr>
              <w:t>Contact</w:t>
            </w:r>
          </w:p>
        </w:tc>
        <w:tc>
          <w:tcPr>
            <w:tcW w:type="dxa" w:w="5472"/>
          </w:tcPr>
          <w:p>
            <w:r>
              <w:t>info@glimmora.ai</w:t>
            </w:r>
          </w:p>
        </w:tc>
      </w:tr>
      <w:tr>
        <w:tc>
          <w:tcPr>
            <w:tcW w:type="dxa" w:w="3168"/>
            <w:shd w:val="clear" w:color="auto" w:fill="EAF1F8"/>
          </w:tcPr>
          <w:p>
            <w:r>
              <w:rPr>
                <w:b/>
                <w:color w:val="1F3A5F"/>
              </w:rPr>
              <w:t>Document Date</w:t>
            </w:r>
          </w:p>
        </w:tc>
        <w:tc>
          <w:tcPr>
            <w:tcW w:type="dxa" w:w="5472"/>
          </w:tcPr>
          <w:p>
            <w:r>
              <w:t>01 June 2026</w:t>
            </w:r>
          </w:p>
        </w:tc>
      </w:tr>
      <w:tr>
        <w:tc>
          <w:tcPr>
            <w:tcW w:type="dxa" w:w="3168"/>
            <w:shd w:val="clear" w:color="auto" w:fill="EAF1F8"/>
          </w:tcPr>
          <w:p>
            <w:r>
              <w:rPr>
                <w:b/>
                <w:color w:val="1F3A5F"/>
              </w:rPr>
              <w:t>Version</w:t>
            </w:r>
          </w:p>
        </w:tc>
        <w:tc>
          <w:tcPr>
            <w:tcW w:type="dxa" w:w="5472"/>
          </w:tcPr>
          <w:p>
            <w:r>
              <w:t>1.0</w:t>
            </w:r>
          </w:p>
        </w:tc>
      </w:tr>
      <w:tr>
        <w:tc>
          <w:tcPr>
            <w:tcW w:type="dxa" w:w="3168"/>
            <w:shd w:val="clear" w:color="auto" w:fill="EAF1F8"/>
          </w:tcPr>
          <w:p>
            <w:r>
              <w:rPr>
                <w:b/>
                <w:color w:val="1F3A5F"/>
              </w:rPr>
              <w:t>Status</w:t>
            </w:r>
          </w:p>
        </w:tc>
        <w:tc>
          <w:tcPr>
            <w:tcW w:type="dxa" w:w="5472"/>
          </w:tcPr>
          <w:p>
            <w:r>
              <w:t>Draft for Client Review</w:t>
            </w:r>
          </w:p>
        </w:tc>
      </w:tr>
      <w:tr>
        <w:tc>
          <w:tcPr>
            <w:tcW w:type="dxa" w:w="3168"/>
            <w:shd w:val="clear" w:color="auto" w:fill="EAF1F8"/>
          </w:tcPr>
          <w:p>
            <w:r>
              <w:rPr>
                <w:b/>
                <w:color w:val="1F3A5F"/>
              </w:rPr>
              <w:t>Confidentiality</w:t>
            </w:r>
          </w:p>
        </w:tc>
        <w:tc>
          <w:tcPr>
            <w:tcW w:type="dxa" w:w="5472"/>
          </w:tcPr>
          <w:p>
            <w:r>
              <w:t>Confidential — For Recipient Use Only</w:t>
            </w:r>
          </w:p>
        </w:tc>
      </w:tr>
    </w:tbl>
    <w:p>
      <w:r>
        <w:br w:type="page"/>
      </w:r>
    </w:p>
    <w:p>
      <w:pPr>
        <w:pBdr>
          <w:bottom w:val="single" w:sz="6" w:space="2" w:color="2E86C1"/>
        </w:pBdr>
      </w:pPr>
      <w:r>
        <w:rPr>
          <w:b/>
          <w:color w:val="1F3A5F"/>
          <w:sz w:val="28"/>
        </w:rPr>
        <w:t>1.  Introduction &amp; Background</w:t>
      </w:r>
    </w:p>
    <w:p>
      <w:r>
        <w:t>Organisations today operate under increasing regulatory pressure and a complex risk landscape. The GRC Platform delivers a single, integrated environment to manage governance documentation, enterprise and operational risk, regulatory compliance, asset management and third-party risk — replacing fragmented spreadsheets and disconnected tools with a unified, auditable system of record.</w:t>
      </w:r>
    </w:p>
    <w:p>
      <w:r>
        <w:t>This Statement of Work ("SOW") is entered into between Glimmora International ("the Vendor", "we", "us") and the Client ("the Client", "you"). It defines the scope of work, deliverables, responsibilities, timeline and commercial framework for the implementation of the Governance, Risk &amp; Compliance (GRC) Platform. This SOW is to be read together with, and is subject to, the Master Services Agreement or equivalent contractual arrangement agreed between the parties.</w:t>
      </w:r>
    </w:p>
    <w:p>
      <w:pPr>
        <w:pBdr>
          <w:bottom w:val="single" w:sz="6" w:space="2" w:color="2E86C1"/>
        </w:pBdr>
      </w:pPr>
      <w:r>
        <w:rPr>
          <w:b/>
          <w:color w:val="1F3A5F"/>
          <w:sz w:val="28"/>
        </w:rPr>
        <w:t>2.  Objectives</w:t>
      </w:r>
    </w:p>
    <w:p>
      <w:r>
        <w:t>The engagement is designed to achieve the following outcomes:</w:t>
      </w:r>
    </w:p>
    <w:p>
      <w:pPr>
        <w:pStyle w:val="ListBullet"/>
      </w:pPr>
      <w:r>
        <w:t>Establish a centralised, single source of truth for governance, risk and compliance data.</w:t>
      </w:r>
    </w:p>
    <w:p>
      <w:pPr>
        <w:pStyle w:val="ListBullet"/>
      </w:pPr>
      <w:r>
        <w:t>Operationalise the organisation's risk management framework end-to-end.</w:t>
      </w:r>
    </w:p>
    <w:p>
      <w:pPr>
        <w:pStyle w:val="ListBullet"/>
      </w:pPr>
      <w:r>
        <w:t>Map controls to one or more regulatory frameworks and track compliance posture in real time.</w:t>
      </w:r>
    </w:p>
    <w:p>
      <w:pPr>
        <w:pStyle w:val="ListBullet"/>
      </w:pPr>
      <w:r>
        <w:t>Automate evidence collection, exceptions, KPIs and due-date reminders.</w:t>
      </w:r>
    </w:p>
    <w:p>
      <w:pPr>
        <w:pStyle w:val="ListBullet"/>
      </w:pPr>
      <w:r>
        <w:t>Provide role-based, multi-tenant access with full audit traceability.</w:t>
      </w:r>
    </w:p>
    <w:p>
      <w:pPr>
        <w:pStyle w:val="ListBullet"/>
      </w:pPr>
      <w:r>
        <w:t>Enable multilingual access (English, Arabic — RTL, and Latvian) across the platform.</w:t>
      </w:r>
    </w:p>
    <w:p>
      <w:pPr>
        <w:pBdr>
          <w:bottom w:val="single" w:sz="6" w:space="2" w:color="2E86C1"/>
        </w:pBdr>
      </w:pPr>
      <w:r>
        <w:rPr>
          <w:b/>
          <w:color w:val="1F3A5F"/>
          <w:sz w:val="28"/>
        </w:rPr>
        <w:t>3.  Scope of Work — Functional Modules</w:t>
      </w:r>
    </w:p>
    <w:p>
      <w:r>
        <w:t>The following modules and capabilities are in scope for the GRC Platform implementation:</w:t>
      </w:r>
    </w:p>
    <w:p>
      <w:r>
        <w:rPr>
          <w:b/>
          <w:color w:val="2E86C1"/>
          <w:sz w:val="23"/>
        </w:rPr>
        <w:t>3.1  Organization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sz w:val="20"/>
              </w:rPr>
              <w:t>Capability</w:t>
            </w:r>
          </w:p>
        </w:tc>
        <w:tc>
          <w:tcPr>
            <w:tcW w:type="dxa" w:w="4320"/>
            <w:shd w:val="clear" w:color="auto" w:fill="1F3A5F"/>
          </w:tcPr>
          <w:p>
            <w:r>
              <w:rPr>
                <w:b/>
                <w:color w:val="FFFFFF"/>
                <w:sz w:val="20"/>
              </w:rPr>
              <w:t>Description</w:t>
            </w:r>
          </w:p>
        </w:tc>
      </w:tr>
      <w:tr>
        <w:tc>
          <w:tcPr>
            <w:tcW w:type="dxa" w:w="4320"/>
          </w:tcPr>
          <w:p>
            <w:r>
              <w:rPr>
                <w:sz w:val="19"/>
              </w:rPr>
              <w:t>Organization Profile</w:t>
            </w:r>
          </w:p>
        </w:tc>
        <w:tc>
          <w:tcPr>
            <w:tcW w:type="dxa" w:w="4320"/>
          </w:tcPr>
          <w:p>
            <w:r>
              <w:rPr>
                <w:sz w:val="19"/>
              </w:rPr>
              <w:t>Maintain legal entity, structure and business profile.</w:t>
            </w:r>
          </w:p>
        </w:tc>
      </w:tr>
      <w:tr>
        <w:tc>
          <w:tcPr>
            <w:tcW w:type="dxa" w:w="4320"/>
          </w:tcPr>
          <w:p>
            <w:r>
              <w:rPr>
                <w:sz w:val="19"/>
              </w:rPr>
              <w:t>Organizational Context</w:t>
            </w:r>
          </w:p>
        </w:tc>
        <w:tc>
          <w:tcPr>
            <w:tcW w:type="dxa" w:w="4320"/>
          </w:tcPr>
          <w:p>
            <w:r>
              <w:rPr>
                <w:sz w:val="19"/>
              </w:rPr>
              <w:t>Internal/external context, interested parties, scope statements.</w:t>
            </w:r>
          </w:p>
        </w:tc>
      </w:tr>
      <w:tr>
        <w:tc>
          <w:tcPr>
            <w:tcW w:type="dxa" w:w="4320"/>
          </w:tcPr>
          <w:p>
            <w:r>
              <w:rPr>
                <w:sz w:val="19"/>
              </w:rPr>
              <w:t>Business Processes</w:t>
            </w:r>
          </w:p>
        </w:tc>
        <w:tc>
          <w:tcPr>
            <w:tcW w:type="dxa" w:w="4320"/>
          </w:tcPr>
          <w:p>
            <w:r>
              <w:rPr>
                <w:sz w:val="19"/>
              </w:rPr>
              <w:t>Process inventory with ownership and criticality.</w:t>
            </w:r>
          </w:p>
        </w:tc>
      </w:tr>
      <w:tr>
        <w:tc>
          <w:tcPr>
            <w:tcW w:type="dxa" w:w="4320"/>
          </w:tcPr>
          <w:p>
            <w:r>
              <w:rPr>
                <w:sz w:val="19"/>
              </w:rPr>
              <w:t>Business Impact Analysis (BIA)</w:t>
            </w:r>
          </w:p>
        </w:tc>
        <w:tc>
          <w:tcPr>
            <w:tcW w:type="dxa" w:w="4320"/>
          </w:tcPr>
          <w:p>
            <w:r>
              <w:rPr>
                <w:sz w:val="19"/>
              </w:rPr>
              <w:t>Assess process criticality, RTO/RPO and dependencies.</w:t>
            </w:r>
          </w:p>
        </w:tc>
      </w:tr>
    </w:tbl>
    <w:p>
      <w:r>
        <w:rPr>
          <w:b/>
          <w:color w:val="2E86C1"/>
          <w:sz w:val="23"/>
        </w:rPr>
        <w:t>3.2  Compliance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sz w:val="20"/>
              </w:rPr>
              <w:t>Capability</w:t>
            </w:r>
          </w:p>
        </w:tc>
        <w:tc>
          <w:tcPr>
            <w:tcW w:type="dxa" w:w="4320"/>
            <w:shd w:val="clear" w:color="auto" w:fill="1F3A5F"/>
          </w:tcPr>
          <w:p>
            <w:r>
              <w:rPr>
                <w:b/>
                <w:color w:val="FFFFFF"/>
                <w:sz w:val="20"/>
              </w:rPr>
              <w:t>Description</w:t>
            </w:r>
          </w:p>
        </w:tc>
      </w:tr>
      <w:tr>
        <w:tc>
          <w:tcPr>
            <w:tcW w:type="dxa" w:w="4320"/>
          </w:tcPr>
          <w:p>
            <w:r>
              <w:rPr>
                <w:sz w:val="19"/>
              </w:rPr>
              <w:t>Frameworks</w:t>
            </w:r>
          </w:p>
        </w:tc>
        <w:tc>
          <w:tcPr>
            <w:tcW w:type="dxa" w:w="4320"/>
          </w:tcPr>
          <w:p>
            <w:r>
              <w:rPr>
                <w:sz w:val="19"/>
              </w:rPr>
              <w:t>Adopt and manage multiple regulatory/standard frameworks.</w:t>
            </w:r>
          </w:p>
        </w:tc>
      </w:tr>
      <w:tr>
        <w:tc>
          <w:tcPr>
            <w:tcW w:type="dxa" w:w="4320"/>
          </w:tcPr>
          <w:p>
            <w:r>
              <w:rPr>
                <w:sz w:val="19"/>
              </w:rPr>
              <w:t>Controls</w:t>
            </w:r>
          </w:p>
        </w:tc>
        <w:tc>
          <w:tcPr>
            <w:tcW w:type="dxa" w:w="4320"/>
          </w:tcPr>
          <w:p>
            <w:r>
              <w:rPr>
                <w:sz w:val="19"/>
              </w:rPr>
              <w:t>Control library mapped to frameworks with ownership and status.</w:t>
            </w:r>
          </w:p>
        </w:tc>
      </w:tr>
      <w:tr>
        <w:tc>
          <w:tcPr>
            <w:tcW w:type="dxa" w:w="4320"/>
          </w:tcPr>
          <w:p>
            <w:r>
              <w:rPr>
                <w:sz w:val="19"/>
              </w:rPr>
              <w:t>Governance Documents</w:t>
            </w:r>
          </w:p>
        </w:tc>
        <w:tc>
          <w:tcPr>
            <w:tcW w:type="dxa" w:w="4320"/>
          </w:tcPr>
          <w:p>
            <w:r>
              <w:rPr>
                <w:sz w:val="19"/>
              </w:rPr>
              <w:t>Policies/procedures with review cycles and approvals.</w:t>
            </w:r>
          </w:p>
        </w:tc>
      </w:tr>
      <w:tr>
        <w:tc>
          <w:tcPr>
            <w:tcW w:type="dxa" w:w="4320"/>
          </w:tcPr>
          <w:p>
            <w:r>
              <w:rPr>
                <w:sz w:val="19"/>
              </w:rPr>
              <w:t>Evidence Management</w:t>
            </w:r>
          </w:p>
        </w:tc>
        <w:tc>
          <w:tcPr>
            <w:tcW w:type="dxa" w:w="4320"/>
          </w:tcPr>
          <w:p>
            <w:r>
              <w:rPr>
                <w:sz w:val="19"/>
              </w:rPr>
              <w:t>Collect, store and link evidence to controls.</w:t>
            </w:r>
          </w:p>
        </w:tc>
      </w:tr>
      <w:tr>
        <w:tc>
          <w:tcPr>
            <w:tcW w:type="dxa" w:w="4320"/>
          </w:tcPr>
          <w:p>
            <w:r>
              <w:rPr>
                <w:sz w:val="19"/>
              </w:rPr>
              <w:t>Exceptions</w:t>
            </w:r>
          </w:p>
        </w:tc>
        <w:tc>
          <w:tcPr>
            <w:tcW w:type="dxa" w:w="4320"/>
          </w:tcPr>
          <w:p>
            <w:r>
              <w:rPr>
                <w:sz w:val="19"/>
              </w:rPr>
              <w:t>Raise, approve and track control exceptions/waivers.</w:t>
            </w:r>
          </w:p>
        </w:tc>
      </w:tr>
      <w:tr>
        <w:tc>
          <w:tcPr>
            <w:tcW w:type="dxa" w:w="4320"/>
          </w:tcPr>
          <w:p>
            <w:r>
              <w:rPr>
                <w:sz w:val="19"/>
              </w:rPr>
              <w:t>KPIs / Metrics</w:t>
            </w:r>
          </w:p>
        </w:tc>
        <w:tc>
          <w:tcPr>
            <w:tcW w:type="dxa" w:w="4320"/>
          </w:tcPr>
          <w:p>
            <w:r>
              <w:rPr>
                <w:sz w:val="19"/>
              </w:rPr>
              <w:t>Define and monitor compliance KPIs and dashboards.</w:t>
            </w:r>
          </w:p>
        </w:tc>
      </w:tr>
    </w:tbl>
    <w:p>
      <w:r>
        <w:rPr>
          <w:b/>
          <w:color w:val="2E86C1"/>
          <w:sz w:val="23"/>
        </w:rPr>
        <w:t>3.3  Risk Management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sz w:val="20"/>
              </w:rPr>
              <w:t>Capability</w:t>
            </w:r>
          </w:p>
        </w:tc>
        <w:tc>
          <w:tcPr>
            <w:tcW w:type="dxa" w:w="4320"/>
            <w:shd w:val="clear" w:color="auto" w:fill="1F3A5F"/>
          </w:tcPr>
          <w:p>
            <w:r>
              <w:rPr>
                <w:b/>
                <w:color w:val="FFFFFF"/>
                <w:sz w:val="20"/>
              </w:rPr>
              <w:t>Description</w:t>
            </w:r>
          </w:p>
        </w:tc>
      </w:tr>
      <w:tr>
        <w:tc>
          <w:tcPr>
            <w:tcW w:type="dxa" w:w="4320"/>
          </w:tcPr>
          <w:p>
            <w:r>
              <w:rPr>
                <w:sz w:val="19"/>
              </w:rPr>
              <w:t>Risk Register</w:t>
            </w:r>
          </w:p>
        </w:tc>
        <w:tc>
          <w:tcPr>
            <w:tcW w:type="dxa" w:w="4320"/>
          </w:tcPr>
          <w:p>
            <w:r>
              <w:rPr>
                <w:sz w:val="19"/>
              </w:rPr>
              <w:t>Central register of enterprise and operational risks.</w:t>
            </w:r>
          </w:p>
        </w:tc>
      </w:tr>
      <w:tr>
        <w:tc>
          <w:tcPr>
            <w:tcW w:type="dxa" w:w="4320"/>
          </w:tcPr>
          <w:p>
            <w:r>
              <w:rPr>
                <w:sz w:val="19"/>
              </w:rPr>
              <w:t>Risk Assessment</w:t>
            </w:r>
          </w:p>
        </w:tc>
        <w:tc>
          <w:tcPr>
            <w:tcW w:type="dxa" w:w="4320"/>
          </w:tcPr>
          <w:p>
            <w:r>
              <w:rPr>
                <w:sz w:val="19"/>
              </w:rPr>
              <w:t>Inherent/residual scoring with configurable methodology.</w:t>
            </w:r>
          </w:p>
        </w:tc>
      </w:tr>
      <w:tr>
        <w:tc>
          <w:tcPr>
            <w:tcW w:type="dxa" w:w="4320"/>
          </w:tcPr>
          <w:p>
            <w:r>
              <w:rPr>
                <w:sz w:val="19"/>
              </w:rPr>
              <w:t>Risk Response</w:t>
            </w:r>
          </w:p>
        </w:tc>
        <w:tc>
          <w:tcPr>
            <w:tcW w:type="dxa" w:w="4320"/>
          </w:tcPr>
          <w:p>
            <w:r>
              <w:rPr>
                <w:sz w:val="19"/>
              </w:rPr>
              <w:t>Treatment plans, owners, due dates and tracking.</w:t>
            </w:r>
          </w:p>
        </w:tc>
      </w:tr>
      <w:tr>
        <w:tc>
          <w:tcPr>
            <w:tcW w:type="dxa" w:w="4320"/>
          </w:tcPr>
          <w:p>
            <w:r>
              <w:rPr>
                <w:sz w:val="19"/>
              </w:rPr>
              <w:t>Risk-Control Matrix</w:t>
            </w:r>
          </w:p>
        </w:tc>
        <w:tc>
          <w:tcPr>
            <w:tcW w:type="dxa" w:w="4320"/>
          </w:tcPr>
          <w:p>
            <w:r>
              <w:rPr>
                <w:sz w:val="19"/>
              </w:rPr>
              <w:t>Link risks to mitigating controls for coverage analysis.</w:t>
            </w:r>
          </w:p>
        </w:tc>
      </w:tr>
    </w:tbl>
    <w:p>
      <w:r>
        <w:rPr>
          <w:b/>
          <w:color w:val="2E86C1"/>
          <w:sz w:val="23"/>
        </w:rPr>
        <w:t>3.4  Asset Management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sz w:val="20"/>
              </w:rPr>
              <w:t>Capability</w:t>
            </w:r>
          </w:p>
        </w:tc>
        <w:tc>
          <w:tcPr>
            <w:tcW w:type="dxa" w:w="4320"/>
            <w:shd w:val="clear" w:color="auto" w:fill="1F3A5F"/>
          </w:tcPr>
          <w:p>
            <w:r>
              <w:rPr>
                <w:b/>
                <w:color w:val="FFFFFF"/>
                <w:sz w:val="20"/>
              </w:rPr>
              <w:t>Description</w:t>
            </w:r>
          </w:p>
        </w:tc>
      </w:tr>
      <w:tr>
        <w:tc>
          <w:tcPr>
            <w:tcW w:type="dxa" w:w="4320"/>
          </w:tcPr>
          <w:p>
            <w:r>
              <w:rPr>
                <w:sz w:val="19"/>
              </w:rPr>
              <w:t>Asset Inventory</w:t>
            </w:r>
          </w:p>
        </w:tc>
        <w:tc>
          <w:tcPr>
            <w:tcW w:type="dxa" w:w="4320"/>
          </w:tcPr>
          <w:p>
            <w:r>
              <w:rPr>
                <w:sz w:val="19"/>
              </w:rPr>
              <w:t>Register of information and physical assets.</w:t>
            </w:r>
          </w:p>
        </w:tc>
      </w:tr>
      <w:tr>
        <w:tc>
          <w:tcPr>
            <w:tcW w:type="dxa" w:w="4320"/>
          </w:tcPr>
          <w:p>
            <w:r>
              <w:rPr>
                <w:sz w:val="19"/>
              </w:rPr>
              <w:t>Asset Classification</w:t>
            </w:r>
          </w:p>
        </w:tc>
        <w:tc>
          <w:tcPr>
            <w:tcW w:type="dxa" w:w="4320"/>
          </w:tcPr>
          <w:p>
            <w:r>
              <w:rPr>
                <w:sz w:val="19"/>
              </w:rPr>
              <w:t>Confidentiality/criticality classification and ownership.</w:t>
            </w:r>
          </w:p>
        </w:tc>
      </w:tr>
    </w:tbl>
    <w:p>
      <w:r>
        <w:rPr>
          <w:b/>
          <w:color w:val="2E86C1"/>
          <w:sz w:val="23"/>
        </w:rPr>
        <w:t>3.5  Third-Party Risk Management (TPRM)</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sz w:val="20"/>
              </w:rPr>
              <w:t>Capability</w:t>
            </w:r>
          </w:p>
        </w:tc>
        <w:tc>
          <w:tcPr>
            <w:tcW w:type="dxa" w:w="4320"/>
            <w:shd w:val="clear" w:color="auto" w:fill="1F3A5F"/>
          </w:tcPr>
          <w:p>
            <w:r>
              <w:rPr>
                <w:b/>
                <w:color w:val="FFFFFF"/>
                <w:sz w:val="20"/>
              </w:rPr>
              <w:t>Description</w:t>
            </w:r>
          </w:p>
        </w:tc>
      </w:tr>
      <w:tr>
        <w:tc>
          <w:tcPr>
            <w:tcW w:type="dxa" w:w="4320"/>
          </w:tcPr>
          <w:p>
            <w:r>
              <w:rPr>
                <w:sz w:val="19"/>
              </w:rPr>
              <w:t>Vendor Inventory</w:t>
            </w:r>
          </w:p>
        </w:tc>
        <w:tc>
          <w:tcPr>
            <w:tcW w:type="dxa" w:w="4320"/>
          </w:tcPr>
          <w:p>
            <w:r>
              <w:rPr>
                <w:sz w:val="19"/>
              </w:rPr>
              <w:t>Central register of third parties and their profiles.</w:t>
            </w:r>
          </w:p>
        </w:tc>
      </w:tr>
      <w:tr>
        <w:tc>
          <w:tcPr>
            <w:tcW w:type="dxa" w:w="4320"/>
          </w:tcPr>
          <w:p>
            <w:r>
              <w:rPr>
                <w:sz w:val="19"/>
              </w:rPr>
              <w:t>Assessments</w:t>
            </w:r>
          </w:p>
        </w:tc>
        <w:tc>
          <w:tcPr>
            <w:tcW w:type="dxa" w:w="4320"/>
          </w:tcPr>
          <w:p>
            <w:r>
              <w:rPr>
                <w:sz w:val="19"/>
              </w:rPr>
              <w:t>Questionnaire-based vendor due-diligence assessments.</w:t>
            </w:r>
          </w:p>
        </w:tc>
      </w:tr>
      <w:tr>
        <w:tc>
          <w:tcPr>
            <w:tcW w:type="dxa" w:w="4320"/>
          </w:tcPr>
          <w:p>
            <w:r>
              <w:rPr>
                <w:sz w:val="19"/>
              </w:rPr>
              <w:t>Continuous Monitoring</w:t>
            </w:r>
          </w:p>
        </w:tc>
        <w:tc>
          <w:tcPr>
            <w:tcW w:type="dxa" w:w="4320"/>
          </w:tcPr>
          <w:p>
            <w:r>
              <w:rPr>
                <w:sz w:val="19"/>
              </w:rPr>
              <w:t>Ongoing monitoring of vendor risk posture.</w:t>
            </w:r>
          </w:p>
        </w:tc>
      </w:tr>
      <w:tr>
        <w:tc>
          <w:tcPr>
            <w:tcW w:type="dxa" w:w="4320"/>
          </w:tcPr>
          <w:p>
            <w:r>
              <w:rPr>
                <w:sz w:val="19"/>
              </w:rPr>
              <w:t>Issues &amp; Follow-ups</w:t>
            </w:r>
          </w:p>
        </w:tc>
        <w:tc>
          <w:tcPr>
            <w:tcW w:type="dxa" w:w="4320"/>
          </w:tcPr>
          <w:p>
            <w:r>
              <w:rPr>
                <w:sz w:val="19"/>
              </w:rPr>
              <w:t>Track vendor issues, remediation and follow-ups.</w:t>
            </w:r>
          </w:p>
        </w:tc>
      </w:tr>
      <w:tr>
        <w:tc>
          <w:tcPr>
            <w:tcW w:type="dxa" w:w="4320"/>
          </w:tcPr>
          <w:p>
            <w:r>
              <w:rPr>
                <w:sz w:val="19"/>
              </w:rPr>
              <w:t>Assessor Workspace</w:t>
            </w:r>
          </w:p>
        </w:tc>
        <w:tc>
          <w:tcPr>
            <w:tcW w:type="dxa" w:w="4320"/>
          </w:tcPr>
          <w:p>
            <w:r>
              <w:rPr>
                <w:sz w:val="19"/>
              </w:rPr>
              <w:t>Dedicated assessor views for factory-style delivery.</w:t>
            </w:r>
          </w:p>
        </w:tc>
      </w:tr>
    </w:tbl>
    <w:p>
      <w:r>
        <w:rPr>
          <w:b/>
          <w:color w:val="2E86C1"/>
          <w:sz w:val="23"/>
        </w:rPr>
        <w:t>3.6  Platform &amp; Cross-Cutting Capabilities</w:t>
      </w:r>
    </w:p>
    <w:p>
      <w:pPr>
        <w:pStyle w:val="ListBullet"/>
      </w:pPr>
      <w:r>
        <w:t>Role-Based Access Control (RBAC) with multi-tenant customer-account isolation.</w:t>
      </w:r>
    </w:p>
    <w:p>
      <w:pPr>
        <w:pStyle w:val="ListBullet"/>
      </w:pPr>
      <w:r>
        <w:t>Configurable dashboards, reporting and exports.</w:t>
      </w:r>
    </w:p>
    <w:p>
      <w:pPr>
        <w:pStyle w:val="ListBullet"/>
      </w:pPr>
      <w:r>
        <w:t>Automated notifications and daily due-date reminders.</w:t>
      </w:r>
    </w:p>
    <w:p>
      <w:pPr>
        <w:pStyle w:val="ListBullet"/>
      </w:pPr>
      <w:r>
        <w:t>Field-level encryption at rest (AES-256-GCM) and TLS in transit for sensitive data.</w:t>
      </w:r>
    </w:p>
    <w:p>
      <w:pPr>
        <w:pStyle w:val="ListBullet"/>
      </w:pPr>
      <w:r>
        <w:t>Full audit trail of create/edit/delete activity.</w:t>
      </w:r>
    </w:p>
    <w:p>
      <w:pPr>
        <w:pStyle w:val="ListBullet"/>
      </w:pPr>
      <w:r>
        <w:t>Multilingual UI and dynamic data translation (English, Arabic RTL, Latvian).</w:t>
      </w:r>
    </w:p>
    <w:p>
      <w:pPr>
        <w:pStyle w:val="ListBullet"/>
      </w:pPr>
      <w:r>
        <w:t>AI-assisted guidance via integrated assistant (where enabled).</w:t>
      </w:r>
    </w:p>
    <w:p>
      <w:pPr>
        <w:pBdr>
          <w:bottom w:val="single" w:sz="6" w:space="2" w:color="2E86C1"/>
        </w:pBdr>
      </w:pPr>
      <w:r>
        <w:rPr>
          <w:b/>
          <w:color w:val="1F3A5F"/>
          <w:sz w:val="28"/>
        </w:rPr>
        <w:t>4.  Deliverables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Pr>
                <w:b/>
                <w:color w:val="FFFFFF"/>
                <w:sz w:val="20"/>
              </w:rPr>
              <w:t>#</w:t>
            </w:r>
          </w:p>
        </w:tc>
        <w:tc>
          <w:tcPr>
            <w:tcW w:type="dxa" w:w="2880"/>
            <w:shd w:val="clear" w:color="auto" w:fill="1F3A5F"/>
          </w:tcPr>
          <w:p>
            <w:r>
              <w:rPr>
                <w:b/>
                <w:color w:val="FFFFFF"/>
                <w:sz w:val="20"/>
              </w:rPr>
              <w:t>Deliverable</w:t>
            </w:r>
          </w:p>
        </w:tc>
        <w:tc>
          <w:tcPr>
            <w:tcW w:type="dxa" w:w="2880"/>
            <w:shd w:val="clear" w:color="auto" w:fill="1F3A5F"/>
          </w:tcPr>
          <w:p>
            <w:r>
              <w:rPr>
                <w:b/>
                <w:color w:val="FFFFFF"/>
                <w:sz w:val="20"/>
              </w:rPr>
              <w:t>Format</w:t>
            </w:r>
          </w:p>
        </w:tc>
      </w:tr>
      <w:tr>
        <w:tc>
          <w:tcPr>
            <w:tcW w:type="dxa" w:w="2880"/>
          </w:tcPr>
          <w:p>
            <w:r>
              <w:rPr>
                <w:sz w:val="19"/>
              </w:rPr>
              <w:t>D1</w:t>
            </w:r>
          </w:p>
        </w:tc>
        <w:tc>
          <w:tcPr>
            <w:tcW w:type="dxa" w:w="2880"/>
          </w:tcPr>
          <w:p>
            <w:r>
              <w:rPr>
                <w:sz w:val="19"/>
              </w:rPr>
              <w:t>Solution Design &amp; Requirements Baseline document</w:t>
            </w:r>
          </w:p>
        </w:tc>
        <w:tc>
          <w:tcPr>
            <w:tcW w:type="dxa" w:w="2880"/>
          </w:tcPr>
          <w:p>
            <w:r>
              <w:rPr>
                <w:sz w:val="19"/>
              </w:rPr>
              <w:t>Document</w:t>
            </w:r>
          </w:p>
        </w:tc>
      </w:tr>
      <w:tr>
        <w:tc>
          <w:tcPr>
            <w:tcW w:type="dxa" w:w="2880"/>
          </w:tcPr>
          <w:p>
            <w:r>
              <w:rPr>
                <w:sz w:val="19"/>
              </w:rPr>
              <w:t>D2</w:t>
            </w:r>
          </w:p>
        </w:tc>
        <w:tc>
          <w:tcPr>
            <w:tcW w:type="dxa" w:w="2880"/>
          </w:tcPr>
          <w:p>
            <w:r>
              <w:rPr>
                <w:sz w:val="19"/>
              </w:rPr>
              <w:t>Configured GRC environment (all in-scope modules)</w:t>
            </w:r>
          </w:p>
        </w:tc>
        <w:tc>
          <w:tcPr>
            <w:tcW w:type="dxa" w:w="2880"/>
          </w:tcPr>
          <w:p>
            <w:r>
              <w:rPr>
                <w:sz w:val="19"/>
              </w:rPr>
              <w:t>Working system</w:t>
            </w:r>
          </w:p>
        </w:tc>
      </w:tr>
      <w:tr>
        <w:tc>
          <w:tcPr>
            <w:tcW w:type="dxa" w:w="2880"/>
          </w:tcPr>
          <w:p>
            <w:r>
              <w:rPr>
                <w:sz w:val="19"/>
              </w:rPr>
              <w:t>D3</w:t>
            </w:r>
          </w:p>
        </w:tc>
        <w:tc>
          <w:tcPr>
            <w:tcW w:type="dxa" w:w="2880"/>
          </w:tcPr>
          <w:p>
            <w:r>
              <w:rPr>
                <w:sz w:val="19"/>
              </w:rPr>
              <w:t>RBAC role matrix and tenant configuration</w:t>
            </w:r>
          </w:p>
        </w:tc>
        <w:tc>
          <w:tcPr>
            <w:tcW w:type="dxa" w:w="2880"/>
          </w:tcPr>
          <w:p>
            <w:r>
              <w:rPr>
                <w:sz w:val="19"/>
              </w:rPr>
              <w:t>Configuration + doc</w:t>
            </w:r>
          </w:p>
        </w:tc>
      </w:tr>
      <w:tr>
        <w:tc>
          <w:tcPr>
            <w:tcW w:type="dxa" w:w="2880"/>
          </w:tcPr>
          <w:p>
            <w:r>
              <w:rPr>
                <w:sz w:val="19"/>
              </w:rPr>
              <w:t>D4</w:t>
            </w:r>
          </w:p>
        </w:tc>
        <w:tc>
          <w:tcPr>
            <w:tcW w:type="dxa" w:w="2880"/>
          </w:tcPr>
          <w:p>
            <w:r>
              <w:rPr>
                <w:sz w:val="19"/>
              </w:rPr>
              <w:t>Data migration of agreed master/reference data</w:t>
            </w:r>
          </w:p>
        </w:tc>
        <w:tc>
          <w:tcPr>
            <w:tcW w:type="dxa" w:w="2880"/>
          </w:tcPr>
          <w:p>
            <w:r>
              <w:rPr>
                <w:sz w:val="19"/>
              </w:rPr>
              <w:t>Loaded data + report</w:t>
            </w:r>
          </w:p>
        </w:tc>
      </w:tr>
      <w:tr>
        <w:tc>
          <w:tcPr>
            <w:tcW w:type="dxa" w:w="2880"/>
          </w:tcPr>
          <w:p>
            <w:r>
              <w:rPr>
                <w:sz w:val="19"/>
              </w:rPr>
              <w:t>D5</w:t>
            </w:r>
          </w:p>
        </w:tc>
        <w:tc>
          <w:tcPr>
            <w:tcW w:type="dxa" w:w="2880"/>
          </w:tcPr>
          <w:p>
            <w:r>
              <w:rPr>
                <w:sz w:val="19"/>
              </w:rPr>
              <w:t>Integration setup (as agreed in design)</w:t>
            </w:r>
          </w:p>
        </w:tc>
        <w:tc>
          <w:tcPr>
            <w:tcW w:type="dxa" w:w="2880"/>
          </w:tcPr>
          <w:p>
            <w:r>
              <w:rPr>
                <w:sz w:val="19"/>
              </w:rPr>
              <w:t>Working integration</w:t>
            </w:r>
          </w:p>
        </w:tc>
      </w:tr>
      <w:tr>
        <w:tc>
          <w:tcPr>
            <w:tcW w:type="dxa" w:w="2880"/>
          </w:tcPr>
          <w:p>
            <w:r>
              <w:rPr>
                <w:sz w:val="19"/>
              </w:rPr>
              <w:t>D6</w:t>
            </w:r>
          </w:p>
        </w:tc>
        <w:tc>
          <w:tcPr>
            <w:tcW w:type="dxa" w:w="2880"/>
          </w:tcPr>
          <w:p>
            <w:r>
              <w:rPr>
                <w:sz w:val="19"/>
              </w:rPr>
              <w:t>UAT support pack and defect log</w:t>
            </w:r>
          </w:p>
        </w:tc>
        <w:tc>
          <w:tcPr>
            <w:tcW w:type="dxa" w:w="2880"/>
          </w:tcPr>
          <w:p>
            <w:r>
              <w:rPr>
                <w:sz w:val="19"/>
              </w:rPr>
              <w:t>Documents</w:t>
            </w:r>
          </w:p>
        </w:tc>
      </w:tr>
      <w:tr>
        <w:tc>
          <w:tcPr>
            <w:tcW w:type="dxa" w:w="2880"/>
          </w:tcPr>
          <w:p>
            <w:r>
              <w:rPr>
                <w:sz w:val="19"/>
              </w:rPr>
              <w:t>D7</w:t>
            </w:r>
          </w:p>
        </w:tc>
        <w:tc>
          <w:tcPr>
            <w:tcW w:type="dxa" w:w="2880"/>
          </w:tcPr>
          <w:p>
            <w:r>
              <w:rPr>
                <w:sz w:val="19"/>
              </w:rPr>
              <w:t>Administrator &amp; end-user guides</w:t>
            </w:r>
          </w:p>
        </w:tc>
        <w:tc>
          <w:tcPr>
            <w:tcW w:type="dxa" w:w="2880"/>
          </w:tcPr>
          <w:p>
            <w:r>
              <w:rPr>
                <w:sz w:val="19"/>
              </w:rPr>
              <w:t>Documents</w:t>
            </w:r>
          </w:p>
        </w:tc>
      </w:tr>
      <w:tr>
        <w:tc>
          <w:tcPr>
            <w:tcW w:type="dxa" w:w="2880"/>
          </w:tcPr>
          <w:p>
            <w:r>
              <w:rPr>
                <w:sz w:val="19"/>
              </w:rPr>
              <w:t>D8</w:t>
            </w:r>
          </w:p>
        </w:tc>
        <w:tc>
          <w:tcPr>
            <w:tcW w:type="dxa" w:w="2880"/>
          </w:tcPr>
          <w:p>
            <w:r>
              <w:rPr>
                <w:sz w:val="19"/>
              </w:rPr>
              <w:t>Training sessions (admin + end-user)</w:t>
            </w:r>
          </w:p>
        </w:tc>
        <w:tc>
          <w:tcPr>
            <w:tcW w:type="dxa" w:w="2880"/>
          </w:tcPr>
          <w:p>
            <w:r>
              <w:rPr>
                <w:sz w:val="19"/>
              </w:rPr>
              <w:t>Sessions</w:t>
            </w:r>
          </w:p>
        </w:tc>
      </w:tr>
      <w:tr>
        <w:tc>
          <w:tcPr>
            <w:tcW w:type="dxa" w:w="2880"/>
          </w:tcPr>
          <w:p>
            <w:r>
              <w:rPr>
                <w:sz w:val="19"/>
              </w:rPr>
              <w:t>D9</w:t>
            </w:r>
          </w:p>
        </w:tc>
        <w:tc>
          <w:tcPr>
            <w:tcW w:type="dxa" w:w="2880"/>
          </w:tcPr>
          <w:p>
            <w:r>
              <w:rPr>
                <w:sz w:val="19"/>
              </w:rPr>
              <w:t>Go-live and hypercare support</w:t>
            </w:r>
          </w:p>
        </w:tc>
        <w:tc>
          <w:tcPr>
            <w:tcW w:type="dxa" w:w="2880"/>
          </w:tcPr>
          <w:p>
            <w:r>
              <w:rPr>
                <w:sz w:val="19"/>
              </w:rPr>
              <w:t>Service</w:t>
            </w:r>
          </w:p>
        </w:tc>
      </w:tr>
    </w:tbl>
    <w:p>
      <w:pPr>
        <w:pBdr>
          <w:bottom w:val="single" w:sz="6" w:space="2" w:color="2E86C1"/>
        </w:pBdr>
      </w:pPr>
      <w:r>
        <w:rPr>
          <w:b/>
          <w:color w:val="1F3A5F"/>
          <w:sz w:val="28"/>
        </w:rPr>
        <w:t>5.  Project Approach &amp; Indicative Timeline</w:t>
      </w:r>
    </w:p>
    <w:p>
      <w:r>
        <w:t>Delivery follows a phased, milestone-based methodology. The indicative durations below are refined during the Initiation phase and confirmed in the detailed project plan.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Pr>
                <w:b/>
                <w:color w:val="FFFFFF"/>
                <w:sz w:val="20"/>
              </w:rPr>
              <w:t>Phase</w:t>
            </w:r>
          </w:p>
        </w:tc>
        <w:tc>
          <w:tcPr>
            <w:tcW w:type="dxa" w:w="2880"/>
            <w:shd w:val="clear" w:color="auto" w:fill="1F3A5F"/>
          </w:tcPr>
          <w:p>
            <w:r>
              <w:rPr>
                <w:b/>
                <w:color w:val="FFFFFF"/>
                <w:sz w:val="20"/>
              </w:rPr>
              <w:t>Key Activities</w:t>
            </w:r>
          </w:p>
        </w:tc>
        <w:tc>
          <w:tcPr>
            <w:tcW w:type="dxa" w:w="2880"/>
            <w:shd w:val="clear" w:color="auto" w:fill="1F3A5F"/>
          </w:tcPr>
          <w:p>
            <w:r>
              <w:rPr>
                <w:b/>
                <w:color w:val="FFFFFF"/>
                <w:sz w:val="20"/>
              </w:rPr>
              <w:t>Indicative Duration</w:t>
            </w:r>
          </w:p>
        </w:tc>
      </w:tr>
      <w:tr>
        <w:tc>
          <w:tcPr>
            <w:tcW w:type="dxa" w:w="2880"/>
          </w:tcPr>
          <w:p>
            <w:r>
              <w:rPr>
                <w:sz w:val="19"/>
              </w:rPr>
              <w:t>1. Initiation</w:t>
            </w:r>
          </w:p>
        </w:tc>
        <w:tc>
          <w:tcPr>
            <w:tcW w:type="dxa" w:w="2880"/>
          </w:tcPr>
          <w:p>
            <w:r>
              <w:rPr>
                <w:sz w:val="19"/>
              </w:rPr>
              <w:t>Kick-off, governance setup, environment provisioning</w:t>
            </w:r>
          </w:p>
        </w:tc>
        <w:tc>
          <w:tcPr>
            <w:tcW w:type="dxa" w:w="2880"/>
          </w:tcPr>
          <w:p>
            <w:r>
              <w:rPr>
                <w:sz w:val="19"/>
              </w:rPr>
              <w:t>1–2 weeks</w:t>
            </w:r>
          </w:p>
        </w:tc>
      </w:tr>
      <w:tr>
        <w:tc>
          <w:tcPr>
            <w:tcW w:type="dxa" w:w="2880"/>
          </w:tcPr>
          <w:p>
            <w:r>
              <w:rPr>
                <w:sz w:val="19"/>
              </w:rPr>
              <w:t>2. Design</w:t>
            </w:r>
          </w:p>
        </w:tc>
        <w:tc>
          <w:tcPr>
            <w:tcW w:type="dxa" w:w="2880"/>
          </w:tcPr>
          <w:p>
            <w:r>
              <w:rPr>
                <w:sz w:val="19"/>
              </w:rPr>
              <w:t>Requirements workshops, solution design, sign-off</w:t>
            </w:r>
          </w:p>
        </w:tc>
        <w:tc>
          <w:tcPr>
            <w:tcW w:type="dxa" w:w="2880"/>
          </w:tcPr>
          <w:p>
            <w:r>
              <w:rPr>
                <w:sz w:val="19"/>
              </w:rPr>
              <w:t>2–4 weeks</w:t>
            </w:r>
          </w:p>
        </w:tc>
      </w:tr>
      <w:tr>
        <w:tc>
          <w:tcPr>
            <w:tcW w:type="dxa" w:w="2880"/>
          </w:tcPr>
          <w:p>
            <w:r>
              <w:rPr>
                <w:sz w:val="19"/>
              </w:rPr>
              <w:t>3. Build &amp; Configure</w:t>
            </w:r>
          </w:p>
        </w:tc>
        <w:tc>
          <w:tcPr>
            <w:tcW w:type="dxa" w:w="2880"/>
          </w:tcPr>
          <w:p>
            <w:r>
              <w:rPr>
                <w:sz w:val="19"/>
              </w:rPr>
              <w:t>Module configuration, RBAC, dashboards, integrations</w:t>
            </w:r>
          </w:p>
        </w:tc>
        <w:tc>
          <w:tcPr>
            <w:tcW w:type="dxa" w:w="2880"/>
          </w:tcPr>
          <w:p>
            <w:r>
              <w:rPr>
                <w:sz w:val="19"/>
              </w:rPr>
              <w:t>4–8 weeks</w:t>
            </w:r>
          </w:p>
        </w:tc>
      </w:tr>
      <w:tr>
        <w:tc>
          <w:tcPr>
            <w:tcW w:type="dxa" w:w="2880"/>
          </w:tcPr>
          <w:p>
            <w:r>
              <w:rPr>
                <w:sz w:val="19"/>
              </w:rPr>
              <w:t>4. Data &amp; Test</w:t>
            </w:r>
          </w:p>
        </w:tc>
        <w:tc>
          <w:tcPr>
            <w:tcW w:type="dxa" w:w="2880"/>
          </w:tcPr>
          <w:p>
            <w:r>
              <w:rPr>
                <w:sz w:val="19"/>
              </w:rPr>
              <w:t>Data migration, SIT, UAT support</w:t>
            </w:r>
          </w:p>
        </w:tc>
        <w:tc>
          <w:tcPr>
            <w:tcW w:type="dxa" w:w="2880"/>
          </w:tcPr>
          <w:p>
            <w:r>
              <w:rPr>
                <w:sz w:val="19"/>
              </w:rPr>
              <w:t>2–4 weeks</w:t>
            </w:r>
          </w:p>
        </w:tc>
      </w:tr>
      <w:tr>
        <w:tc>
          <w:tcPr>
            <w:tcW w:type="dxa" w:w="2880"/>
          </w:tcPr>
          <w:p>
            <w:r>
              <w:rPr>
                <w:sz w:val="19"/>
              </w:rPr>
              <w:t>5. Deploy</w:t>
            </w:r>
          </w:p>
        </w:tc>
        <w:tc>
          <w:tcPr>
            <w:tcW w:type="dxa" w:w="2880"/>
          </w:tcPr>
          <w:p>
            <w:r>
              <w:rPr>
                <w:sz w:val="19"/>
              </w:rPr>
              <w:t>Production cut-over, go-live</w:t>
            </w:r>
          </w:p>
        </w:tc>
        <w:tc>
          <w:tcPr>
            <w:tcW w:type="dxa" w:w="2880"/>
          </w:tcPr>
          <w:p>
            <w:r>
              <w:rPr>
                <w:sz w:val="19"/>
              </w:rPr>
              <w:t>1 week</w:t>
            </w:r>
          </w:p>
        </w:tc>
      </w:tr>
      <w:tr>
        <w:tc>
          <w:tcPr>
            <w:tcW w:type="dxa" w:w="2880"/>
          </w:tcPr>
          <w:p>
            <w:r>
              <w:rPr>
                <w:sz w:val="19"/>
              </w:rPr>
              <w:t>6. Hypercare</w:t>
            </w:r>
          </w:p>
        </w:tc>
        <w:tc>
          <w:tcPr>
            <w:tcW w:type="dxa" w:w="2880"/>
          </w:tcPr>
          <w:p>
            <w:r>
              <w:rPr>
                <w:sz w:val="19"/>
              </w:rPr>
              <w:t>Post-go-live stabilisation support</w:t>
            </w:r>
          </w:p>
        </w:tc>
        <w:tc>
          <w:tcPr>
            <w:tcW w:type="dxa" w:w="2880"/>
          </w:tcPr>
          <w:p>
            <w:r>
              <w:rPr>
                <w:sz w:val="19"/>
              </w:rPr>
              <w:t>2–4 weeks</w:t>
            </w:r>
          </w:p>
        </w:tc>
      </w:tr>
    </w:tbl>
    <w:p>
      <w:pPr>
        <w:pBdr>
          <w:bottom w:val="single" w:sz="6" w:space="2" w:color="2E86C1"/>
        </w:pBdr>
      </w:pPr>
      <w:r>
        <w:rPr>
          <w:b/>
          <w:color w:val="1F3A5F"/>
          <w:sz w:val="28"/>
        </w:rPr>
        <w:t>6.  Roles &amp; Responsibilities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Pr>
                <w:b/>
                <w:color w:val="FFFFFF"/>
                <w:sz w:val="20"/>
              </w:rPr>
              <w:t>Role</w:t>
            </w:r>
          </w:p>
        </w:tc>
        <w:tc>
          <w:tcPr>
            <w:tcW w:type="dxa" w:w="2880"/>
            <w:shd w:val="clear" w:color="auto" w:fill="1F3A5F"/>
          </w:tcPr>
          <w:p>
            <w:r>
              <w:rPr>
                <w:b/>
                <w:color w:val="FFFFFF"/>
                <w:sz w:val="20"/>
              </w:rPr>
              <w:t>Party</w:t>
            </w:r>
          </w:p>
        </w:tc>
        <w:tc>
          <w:tcPr>
            <w:tcW w:type="dxa" w:w="2880"/>
            <w:shd w:val="clear" w:color="auto" w:fill="1F3A5F"/>
          </w:tcPr>
          <w:p>
            <w:r>
              <w:rPr>
                <w:b/>
                <w:color w:val="FFFFFF"/>
                <w:sz w:val="20"/>
              </w:rPr>
              <w:t>Responsibility</w:t>
            </w:r>
          </w:p>
        </w:tc>
      </w:tr>
      <w:tr>
        <w:tc>
          <w:tcPr>
            <w:tcW w:type="dxa" w:w="2880"/>
          </w:tcPr>
          <w:p>
            <w:r>
              <w:rPr>
                <w:sz w:val="19"/>
              </w:rPr>
              <w:t>Project Sponsor</w:t>
            </w:r>
          </w:p>
        </w:tc>
        <w:tc>
          <w:tcPr>
            <w:tcW w:type="dxa" w:w="2880"/>
          </w:tcPr>
          <w:p>
            <w:r>
              <w:rPr>
                <w:sz w:val="19"/>
              </w:rPr>
              <w:t>Client</w:t>
            </w:r>
          </w:p>
        </w:tc>
        <w:tc>
          <w:tcPr>
            <w:tcW w:type="dxa" w:w="2880"/>
          </w:tcPr>
          <w:p>
            <w:r>
              <w:rPr>
                <w:sz w:val="19"/>
              </w:rPr>
              <w:t>Executive ownership, funding, escalation</w:t>
            </w:r>
          </w:p>
        </w:tc>
      </w:tr>
      <w:tr>
        <w:tc>
          <w:tcPr>
            <w:tcW w:type="dxa" w:w="2880"/>
          </w:tcPr>
          <w:p>
            <w:r>
              <w:rPr>
                <w:sz w:val="19"/>
              </w:rPr>
              <w:t>Project Manager</w:t>
            </w:r>
          </w:p>
        </w:tc>
        <w:tc>
          <w:tcPr>
            <w:tcW w:type="dxa" w:w="2880"/>
          </w:tcPr>
          <w:p>
            <w:r>
              <w:rPr>
                <w:sz w:val="19"/>
              </w:rPr>
              <w:t>Both</w:t>
            </w:r>
          </w:p>
        </w:tc>
        <w:tc>
          <w:tcPr>
            <w:tcW w:type="dxa" w:w="2880"/>
          </w:tcPr>
          <w:p>
            <w:r>
              <w:rPr>
                <w:sz w:val="19"/>
              </w:rPr>
              <w:t>Day-to-day delivery, plan, RAID management</w:t>
            </w:r>
          </w:p>
        </w:tc>
      </w:tr>
      <w:tr>
        <w:tc>
          <w:tcPr>
            <w:tcW w:type="dxa" w:w="2880"/>
          </w:tcPr>
          <w:p>
            <w:r>
              <w:rPr>
                <w:sz w:val="19"/>
              </w:rPr>
              <w:t>Solution / Implementation Lead</w:t>
            </w:r>
          </w:p>
        </w:tc>
        <w:tc>
          <w:tcPr>
            <w:tcW w:type="dxa" w:w="2880"/>
          </w:tcPr>
          <w:p>
            <w:r>
              <w:rPr>
                <w:sz w:val="19"/>
              </w:rPr>
              <w:t>Vendor</w:t>
            </w:r>
          </w:p>
        </w:tc>
        <w:tc>
          <w:tcPr>
            <w:tcW w:type="dxa" w:w="2880"/>
          </w:tcPr>
          <w:p>
            <w:r>
              <w:rPr>
                <w:sz w:val="19"/>
              </w:rPr>
              <w:t>Solution design, configuration, build</w:t>
            </w:r>
          </w:p>
        </w:tc>
      </w:tr>
      <w:tr>
        <w:tc>
          <w:tcPr>
            <w:tcW w:type="dxa" w:w="2880"/>
          </w:tcPr>
          <w:p>
            <w:r>
              <w:rPr>
                <w:sz w:val="19"/>
              </w:rPr>
              <w:t>Business SMEs</w:t>
            </w:r>
          </w:p>
        </w:tc>
        <w:tc>
          <w:tcPr>
            <w:tcW w:type="dxa" w:w="2880"/>
          </w:tcPr>
          <w:p>
            <w:r>
              <w:rPr>
                <w:sz w:val="19"/>
              </w:rPr>
              <w:t>Client</w:t>
            </w:r>
          </w:p>
        </w:tc>
        <w:tc>
          <w:tcPr>
            <w:tcW w:type="dxa" w:w="2880"/>
          </w:tcPr>
          <w:p>
            <w:r>
              <w:rPr>
                <w:sz w:val="19"/>
              </w:rPr>
              <w:t>Requirements, validation, UAT sign-off</w:t>
            </w:r>
          </w:p>
        </w:tc>
      </w:tr>
      <w:tr>
        <w:tc>
          <w:tcPr>
            <w:tcW w:type="dxa" w:w="2880"/>
          </w:tcPr>
          <w:p>
            <w:r>
              <w:rPr>
                <w:sz w:val="19"/>
              </w:rPr>
              <w:t>Data Owner</w:t>
            </w:r>
          </w:p>
        </w:tc>
        <w:tc>
          <w:tcPr>
            <w:tcW w:type="dxa" w:w="2880"/>
          </w:tcPr>
          <w:p>
            <w:r>
              <w:rPr>
                <w:sz w:val="19"/>
              </w:rPr>
              <w:t>Client</w:t>
            </w:r>
          </w:p>
        </w:tc>
        <w:tc>
          <w:tcPr>
            <w:tcW w:type="dxa" w:w="2880"/>
          </w:tcPr>
          <w:p>
            <w:r>
              <w:rPr>
                <w:sz w:val="19"/>
              </w:rPr>
              <w:t>Source data quality, migration approval</w:t>
            </w:r>
          </w:p>
        </w:tc>
      </w:tr>
      <w:tr>
        <w:tc>
          <w:tcPr>
            <w:tcW w:type="dxa" w:w="2880"/>
          </w:tcPr>
          <w:p>
            <w:r>
              <w:rPr>
                <w:sz w:val="19"/>
              </w:rPr>
              <w:t>Technical / Infra Lead</w:t>
            </w:r>
          </w:p>
        </w:tc>
        <w:tc>
          <w:tcPr>
            <w:tcW w:type="dxa" w:w="2880"/>
          </w:tcPr>
          <w:p>
            <w:r>
              <w:rPr>
                <w:sz w:val="19"/>
              </w:rPr>
              <w:t>Both</w:t>
            </w:r>
          </w:p>
        </w:tc>
        <w:tc>
          <w:tcPr>
            <w:tcW w:type="dxa" w:w="2880"/>
          </w:tcPr>
          <w:p>
            <w:r>
              <w:rPr>
                <w:sz w:val="19"/>
              </w:rPr>
              <w:t>Environments, integrations, security</w:t>
            </w:r>
          </w:p>
        </w:tc>
      </w:tr>
      <w:tr>
        <w:tc>
          <w:tcPr>
            <w:tcW w:type="dxa" w:w="2880"/>
          </w:tcPr>
          <w:p>
            <w:r>
              <w:rPr>
                <w:sz w:val="19"/>
              </w:rPr>
              <w:t>Training Lead</w:t>
            </w:r>
          </w:p>
        </w:tc>
        <w:tc>
          <w:tcPr>
            <w:tcW w:type="dxa" w:w="2880"/>
          </w:tcPr>
          <w:p>
            <w:r>
              <w:rPr>
                <w:sz w:val="19"/>
              </w:rPr>
              <w:t>Vendor</w:t>
            </w:r>
          </w:p>
        </w:tc>
        <w:tc>
          <w:tcPr>
            <w:tcW w:type="dxa" w:w="2880"/>
          </w:tcPr>
          <w:p>
            <w:r>
              <w:rPr>
                <w:sz w:val="19"/>
              </w:rPr>
              <w:t>End-user and administrator enablement</w:t>
            </w:r>
          </w:p>
        </w:tc>
      </w:tr>
    </w:tbl>
    <w:p>
      <w:pPr>
        <w:pBdr>
          <w:bottom w:val="single" w:sz="6" w:space="2" w:color="2E86C1"/>
        </w:pBdr>
      </w:pPr>
      <w:r>
        <w:rPr>
          <w:b/>
          <w:color w:val="1F3A5F"/>
          <w:sz w:val="28"/>
        </w:rPr>
        <w:t>7.  Acceptance Criteria</w:t>
      </w:r>
    </w:p>
    <w:p>
      <w:r>
        <w:t>A deliverable or milestone is deemed accepted when:</w:t>
      </w:r>
    </w:p>
    <w:p>
      <w:pPr>
        <w:pStyle w:val="ListBullet"/>
      </w:pPr>
      <w:r>
        <w:t>It meets the agreed functional and non-functional requirements baseline.</w:t>
      </w:r>
    </w:p>
    <w:p>
      <w:pPr>
        <w:pStyle w:val="ListBullet"/>
      </w:pPr>
      <w:r>
        <w:t>It successfully passes the agreed UAT test scripts with no open Severity-1 or Severity-2 defects.</w:t>
      </w:r>
    </w:p>
    <w:p>
      <w:pPr>
        <w:pStyle w:val="ListBullet"/>
      </w:pPr>
      <w:r>
        <w:t>Supporting documentation (configuration, user guides, admin guides) has been handed over.</w:t>
      </w:r>
    </w:p>
    <w:p>
      <w:pPr>
        <w:pStyle w:val="ListBullet"/>
      </w:pPr>
      <w:r>
        <w:t>Written sign-off is provided by the Client SPOC within the agreed review window (deemed accepted if no response within that window).</w:t>
      </w:r>
    </w:p>
    <w:p>
      <w:pPr>
        <w:pBdr>
          <w:bottom w:val="single" w:sz="6" w:space="2" w:color="2E86C1"/>
        </w:pBdr>
      </w:pPr>
      <w:r>
        <w:rPr>
          <w:b/>
          <w:color w:val="1F3A5F"/>
          <w:sz w:val="28"/>
        </w:rPr>
        <w:t>8.  Assumptions &amp; Dependencies</w:t>
      </w:r>
    </w:p>
    <w:p>
      <w:pPr>
        <w:pStyle w:val="ListBullet"/>
      </w:pPr>
      <w:r>
        <w:t>The Client will nominate a Project Sponsor and a Single Point of Contact (SPOC) empowered to make decisions.</w:t>
      </w:r>
    </w:p>
    <w:p>
      <w:pPr>
        <w:pStyle w:val="ListBullet"/>
      </w:pPr>
      <w:r>
        <w:t>The Client will provide timely access to subject-matter experts, source data, and required system credentials.</w:t>
      </w:r>
    </w:p>
    <w:p>
      <w:pPr>
        <w:pStyle w:val="ListBullet"/>
      </w:pPr>
      <w:r>
        <w:t>Requirements signed off at the end of the design phase form the baseline; changes are handled via the Change Control process.</w:t>
      </w:r>
    </w:p>
    <w:p>
      <w:pPr>
        <w:pStyle w:val="ListBullet"/>
      </w:pPr>
      <w:r>
        <w:t>Business and reference data will be provided in an agreed, structured electronic format.</w:t>
      </w:r>
    </w:p>
    <w:p>
      <w:pPr>
        <w:pStyle w:val="ListBullet"/>
      </w:pPr>
      <w:r>
        <w:t>Third-party software, infrastructure or API licences required for integrations are procured by the Client unless stated otherwise.</w:t>
      </w:r>
    </w:p>
    <w:p>
      <w:pPr>
        <w:pStyle w:val="ListBullet"/>
      </w:pPr>
      <w:r>
        <w:t>User Acceptance Testing will be completed by the Client within the agreed test window.</w:t>
      </w:r>
    </w:p>
    <w:p>
      <w:pPr>
        <w:pStyle w:val="ListBullet"/>
      </w:pPr>
      <w:r>
        <w:t>Work is performed remotely unless on-site days are explicitly agreed and costed.</w:t>
      </w:r>
    </w:p>
    <w:p>
      <w:pPr>
        <w:pStyle w:val="ListBullet"/>
      </w:pPr>
      <w:r>
        <w:t>The number of regulatory frameworks and controls to be loaded is agreed during design.</w:t>
      </w:r>
    </w:p>
    <w:p>
      <w:pPr>
        <w:pStyle w:val="ListBullet"/>
      </w:pPr>
      <w:r>
        <w:t>TPRM assessment questionnaires are provided or selected from standard templates.</w:t>
      </w:r>
    </w:p>
    <w:p>
      <w:pPr>
        <w:pBdr>
          <w:bottom w:val="single" w:sz="6" w:space="2" w:color="2E86C1"/>
        </w:pBdr>
      </w:pPr>
      <w:r>
        <w:rPr>
          <w:b/>
          <w:color w:val="1F3A5F"/>
          <w:sz w:val="28"/>
        </w:rPr>
        <w:t>9.  Out of Scope</w:t>
      </w:r>
    </w:p>
    <w:p>
      <w:r>
        <w:t>Unless explicitly agreed in writing through Change Control, the following are excluded from this SOW:</w:t>
      </w:r>
    </w:p>
    <w:p>
      <w:pPr>
        <w:pStyle w:val="ListBullet"/>
      </w:pPr>
      <w:r>
        <w:t>Bespoke module development beyond configuration of the standard platform.</w:t>
      </w:r>
    </w:p>
    <w:p>
      <w:pPr>
        <w:pStyle w:val="ListBullet"/>
      </w:pPr>
      <w:r>
        <w:t>Custom integrations not identified and agreed during the Design phase.</w:t>
      </w:r>
    </w:p>
    <w:p>
      <w:pPr>
        <w:pStyle w:val="ListBullet"/>
      </w:pPr>
      <w:r>
        <w:t>Content authoring of the Client's policies, risks or controls (the Client provides content).</w:t>
      </w:r>
    </w:p>
    <w:p>
      <w:pPr>
        <w:pStyle w:val="ListBullet"/>
      </w:pPr>
      <w:r>
        <w:t>Independent regulatory certification or audit attestation services.</w:t>
      </w:r>
    </w:p>
    <w:p>
      <w:pPr>
        <w:pStyle w:val="ListBullet"/>
      </w:pPr>
      <w:r>
        <w:t>Ongoing managed services beyond the hypercare period (available separately).</w:t>
      </w:r>
    </w:p>
    <w:p>
      <w:pPr>
        <w:pBdr>
          <w:bottom w:val="single" w:sz="6" w:space="2" w:color="2E86C1"/>
        </w:pBdr>
      </w:pPr>
      <w:r>
        <w:rPr>
          <w:b/>
          <w:color w:val="1F3A5F"/>
          <w:sz w:val="28"/>
        </w:rPr>
        <w:t>10.  Project Governance &amp; Change Control</w:t>
      </w:r>
    </w:p>
    <w:p>
      <w:r>
        <w:rPr>
          <w:b/>
          <w:color w:val="2E86C1"/>
          <w:sz w:val="23"/>
        </w:rPr>
        <w:t>Governance</w:t>
      </w:r>
    </w:p>
    <w:p>
      <w:pPr>
        <w:pStyle w:val="ListBullet"/>
      </w:pPr>
      <w:r>
        <w:t>Weekly status reporting covering progress, risks, issues and decisions (RAID log).</w:t>
      </w:r>
    </w:p>
    <w:p>
      <w:pPr>
        <w:pStyle w:val="ListBullet"/>
      </w:pPr>
      <w:r>
        <w:t>Steering Committee checkpoints at the end of each major phase.</w:t>
      </w:r>
    </w:p>
    <w:p>
      <w:pPr>
        <w:pStyle w:val="ListBullet"/>
      </w:pPr>
      <w:r>
        <w:t>Escalation path defined between the Vendor and Client project managers.</w:t>
      </w:r>
    </w:p>
    <w:p>
      <w:r>
        <w:rPr>
          <w:b/>
          <w:color w:val="2E86C1"/>
          <w:sz w:val="23"/>
        </w:rPr>
        <w:t>Change Control</w:t>
      </w:r>
    </w:p>
    <w:p>
      <w:r>
        <w:t>Any change to scope, timeline or deliverables will be documented in a Change Request, assessed for impact on effort, cost and schedule, and implemented only after written approval by both parties.</w:t>
      </w:r>
    </w:p>
    <w:p>
      <w:pPr>
        <w:pBdr>
          <w:bottom w:val="single" w:sz="6" w:space="2" w:color="2E86C1"/>
        </w:pBdr>
      </w:pPr>
      <w:r>
        <w:rPr>
          <w:b/>
          <w:color w:val="1F3A5F"/>
          <w:sz w:val="28"/>
        </w:rPr>
        <w:t>11.  Commercials &amp; Payment Schedule</w:t>
      </w:r>
    </w:p>
    <w:p>
      <w:r>
        <w:t>The commercial model below is indicative and to be finalised during contracting. All amounts are exclusive of applicable taxes, duties and third-party licensing costs unless explicitly stated.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Pr>
                <w:b/>
                <w:color w:val="FFFFFF"/>
                <w:sz w:val="20"/>
              </w:rPr>
              <w:t>Milestone / Component</w:t>
            </w:r>
          </w:p>
        </w:tc>
        <w:tc>
          <w:tcPr>
            <w:tcW w:type="dxa" w:w="2880"/>
            <w:shd w:val="clear" w:color="auto" w:fill="1F3A5F"/>
          </w:tcPr>
          <w:p>
            <w:r>
              <w:rPr>
                <w:b/>
                <w:color w:val="FFFFFF"/>
                <w:sz w:val="20"/>
              </w:rPr>
              <w:t>Description</w:t>
            </w:r>
          </w:p>
        </w:tc>
        <w:tc>
          <w:tcPr>
            <w:tcW w:type="dxa" w:w="2880"/>
            <w:shd w:val="clear" w:color="auto" w:fill="1F3A5F"/>
          </w:tcPr>
          <w:p>
            <w:r>
              <w:rPr>
                <w:b/>
                <w:color w:val="FFFFFF"/>
                <w:sz w:val="20"/>
              </w:rPr>
              <w:t>Payment %</w:t>
            </w:r>
          </w:p>
        </w:tc>
      </w:tr>
      <w:tr>
        <w:tc>
          <w:tcPr>
            <w:tcW w:type="dxa" w:w="2880"/>
          </w:tcPr>
          <w:p>
            <w:r>
              <w:rPr>
                <w:sz w:val="19"/>
              </w:rPr>
              <w:t>Project Initiation</w:t>
            </w:r>
          </w:p>
        </w:tc>
        <w:tc>
          <w:tcPr>
            <w:tcW w:type="dxa" w:w="2880"/>
          </w:tcPr>
          <w:p>
            <w:r>
              <w:rPr>
                <w:sz w:val="19"/>
              </w:rPr>
              <w:t>Mobilisation, kick-off, environment provisioning</w:t>
            </w:r>
          </w:p>
        </w:tc>
        <w:tc>
          <w:tcPr>
            <w:tcW w:type="dxa" w:w="2880"/>
          </w:tcPr>
          <w:p>
            <w:r>
              <w:rPr>
                <w:sz w:val="19"/>
              </w:rPr>
              <w:t>20%</w:t>
            </w:r>
          </w:p>
        </w:tc>
      </w:tr>
      <w:tr>
        <w:tc>
          <w:tcPr>
            <w:tcW w:type="dxa" w:w="2880"/>
          </w:tcPr>
          <w:p>
            <w:r>
              <w:rPr>
                <w:sz w:val="19"/>
              </w:rPr>
              <w:t>Configuration &amp; Build</w:t>
            </w:r>
          </w:p>
        </w:tc>
        <w:tc>
          <w:tcPr>
            <w:tcW w:type="dxa" w:w="2880"/>
          </w:tcPr>
          <w:p>
            <w:r>
              <w:rPr>
                <w:sz w:val="19"/>
              </w:rPr>
              <w:t>Module configuration, data model, RBAC setup</w:t>
            </w:r>
          </w:p>
        </w:tc>
        <w:tc>
          <w:tcPr>
            <w:tcW w:type="dxa" w:w="2880"/>
          </w:tcPr>
          <w:p>
            <w:r>
              <w:rPr>
                <w:sz w:val="19"/>
              </w:rPr>
              <w:t>30%</w:t>
            </w:r>
          </w:p>
        </w:tc>
      </w:tr>
      <w:tr>
        <w:tc>
          <w:tcPr>
            <w:tcW w:type="dxa" w:w="2880"/>
          </w:tcPr>
          <w:p>
            <w:r>
              <w:rPr>
                <w:sz w:val="19"/>
              </w:rPr>
              <w:t>Data Migration &amp; UAT</w:t>
            </w:r>
          </w:p>
        </w:tc>
        <w:tc>
          <w:tcPr>
            <w:tcW w:type="dxa" w:w="2880"/>
          </w:tcPr>
          <w:p>
            <w:r>
              <w:rPr>
                <w:sz w:val="19"/>
              </w:rPr>
              <w:t>Migration, integration, User Acceptance Testing</w:t>
            </w:r>
          </w:p>
        </w:tc>
        <w:tc>
          <w:tcPr>
            <w:tcW w:type="dxa" w:w="2880"/>
          </w:tcPr>
          <w:p>
            <w:r>
              <w:rPr>
                <w:sz w:val="19"/>
              </w:rPr>
              <w:t>25%</w:t>
            </w:r>
          </w:p>
        </w:tc>
      </w:tr>
      <w:tr>
        <w:tc>
          <w:tcPr>
            <w:tcW w:type="dxa" w:w="2880"/>
          </w:tcPr>
          <w:p>
            <w:r>
              <w:rPr>
                <w:sz w:val="19"/>
              </w:rPr>
              <w:t>Go-Live</w:t>
            </w:r>
          </w:p>
        </w:tc>
        <w:tc>
          <w:tcPr>
            <w:tcW w:type="dxa" w:w="2880"/>
          </w:tcPr>
          <w:p>
            <w:r>
              <w:rPr>
                <w:sz w:val="19"/>
              </w:rPr>
              <w:t>Production cut-over and hypercare commencement</w:t>
            </w:r>
          </w:p>
        </w:tc>
        <w:tc>
          <w:tcPr>
            <w:tcW w:type="dxa" w:w="2880"/>
          </w:tcPr>
          <w:p>
            <w:r>
              <w:rPr>
                <w:sz w:val="19"/>
              </w:rPr>
              <w:t>15%</w:t>
            </w:r>
          </w:p>
        </w:tc>
      </w:tr>
      <w:tr>
        <w:tc>
          <w:tcPr>
            <w:tcW w:type="dxa" w:w="2880"/>
          </w:tcPr>
          <w:p>
            <w:r>
              <w:rPr>
                <w:sz w:val="19"/>
              </w:rPr>
              <w:t>Closure &amp; Sign-off</w:t>
            </w:r>
          </w:p>
        </w:tc>
        <w:tc>
          <w:tcPr>
            <w:tcW w:type="dxa" w:w="2880"/>
          </w:tcPr>
          <w:p>
            <w:r>
              <w:rPr>
                <w:sz w:val="19"/>
              </w:rPr>
              <w:t>Acceptance, handover, documentation</w:t>
            </w:r>
          </w:p>
        </w:tc>
        <w:tc>
          <w:tcPr>
            <w:tcW w:type="dxa" w:w="2880"/>
          </w:tcPr>
          <w:p>
            <w:r>
              <w:rPr>
                <w:sz w:val="19"/>
              </w:rPr>
              <w:t>10%</w:t>
            </w:r>
          </w:p>
        </w:tc>
      </w:tr>
    </w:tbl>
    <w:p>
      <w:r>
        <w:t>Recurring subscription / SaaS licensing, annual support &amp; maintenance (AMC), and optional managed services are quoted separately in the commercial proposal.</w:t>
      </w:r>
    </w:p>
    <w:p>
      <w:pPr>
        <w:pBdr>
          <w:bottom w:val="single" w:sz="6" w:space="2" w:color="2E86C1"/>
        </w:pBdr>
      </w:pPr>
      <w:r>
        <w:rPr>
          <w:b/>
          <w:color w:val="1F3A5F"/>
          <w:sz w:val="28"/>
        </w:rPr>
        <w:t>12.  Support &amp; Maintenance</w:t>
      </w:r>
    </w:p>
    <w:p>
      <w:r>
        <w:t>Following hypercare, ongoing support is available under a separate Annual Maintenance Contract (AMC) covering platform updates, defect resolution, and service-desk support under agreed SLAs. Tiered support options can be tailored to the Client's needs.</w:t>
      </w:r>
    </w:p>
    <w:p>
      <w:pPr>
        <w:pBdr>
          <w:bottom w:val="single" w:sz="6" w:space="2" w:color="2E86C1"/>
        </w:pBdr>
      </w:pPr>
      <w:r>
        <w:rPr>
          <w:b/>
          <w:color w:val="1F3A5F"/>
          <w:sz w:val="28"/>
        </w:rPr>
        <w:t>13.  Acceptance &amp; Authorisation</w:t>
      </w:r>
    </w:p>
    <w:p>
      <w:r>
        <w:t>By signing below, the parties acknowledge that they have read, understood and agreed to the terms, scope and deliverables described in this Statement of Work. This SOW becomes effective on the latest signature date below and is governed by the Master Services Agreement (or equivalent) executed between the parties.</w:t>
      </w:r>
    </w:p>
    <w:tbl>
      <w:tblPr>
        <w:tblStyle w:val="TableGrid"/>
        <w:tblW w:type="auto" w:w="0"/>
        <w:tblLook w:firstColumn="1" w:firstRow="1" w:lastColumn="0" w:lastRow="0" w:noHBand="0" w:noVBand="1" w:val="04A0"/>
      </w:tblPr>
      <w:tblGrid>
        <w:gridCol w:w="4320"/>
        <w:gridCol w:w="4320"/>
      </w:tblGrid>
      <w:tr>
        <w:tc>
          <w:tcPr>
            <w:tcW w:type="dxa" w:w="4320"/>
            <w:shd w:val="clear" w:color="auto" w:fill="EAF1F8"/>
          </w:tcPr>
          <w:p>
            <w:r>
              <w:rPr>
                <w:b/>
                <w:color w:val="1F3A5F"/>
                <w:sz w:val="20"/>
              </w:rPr>
              <w:t>For and on behalf of Glimmora International (Vendor)</w:t>
            </w:r>
          </w:p>
        </w:tc>
        <w:tc>
          <w:tcPr>
            <w:tcW w:type="dxa" w:w="4320"/>
            <w:shd w:val="clear" w:color="auto" w:fill="EAF1F8"/>
          </w:tcPr>
          <w:p>
            <w:r>
              <w:rPr>
                <w:b/>
                <w:color w:val="1F3A5F"/>
                <w:sz w:val="20"/>
              </w:rPr>
              <w:t>For and on behalf of the Client</w:t>
            </w:r>
          </w:p>
        </w:tc>
      </w:tr>
      <w:tr>
        <w:tc>
          <w:tcPr>
            <w:tcW w:type="dxa" w:w="4320"/>
          </w:tcPr>
          <w:p>
            <w:r>
              <w:rPr>
                <w:sz w:val="20"/>
              </w:rPr>
              <w:br/>
              <w:t>Name:</w:t>
            </w:r>
          </w:p>
        </w:tc>
        <w:tc>
          <w:tcPr>
            <w:tcW w:type="dxa" w:w="4320"/>
          </w:tcPr>
          <w:p>
            <w:r>
              <w:rPr>
                <w:sz w:val="20"/>
              </w:rPr>
              <w:br/>
              <w:t>Name:</w:t>
            </w:r>
          </w:p>
        </w:tc>
      </w:tr>
      <w:tr>
        <w:tc>
          <w:tcPr>
            <w:tcW w:type="dxa" w:w="4320"/>
          </w:tcPr>
          <w:p>
            <w:r>
              <w:rPr>
                <w:sz w:val="20"/>
              </w:rPr>
              <w:br/>
              <w:t>Title:</w:t>
            </w:r>
          </w:p>
        </w:tc>
        <w:tc>
          <w:tcPr>
            <w:tcW w:type="dxa" w:w="4320"/>
          </w:tcPr>
          <w:p>
            <w:r>
              <w:rPr>
                <w:sz w:val="20"/>
              </w:rPr>
              <w:br/>
              <w:t>Title:</w:t>
            </w:r>
          </w:p>
        </w:tc>
      </w:tr>
      <w:tr>
        <w:tc>
          <w:tcPr>
            <w:tcW w:type="dxa" w:w="4320"/>
          </w:tcPr>
          <w:p>
            <w:r>
              <w:rPr>
                <w:sz w:val="20"/>
              </w:rPr>
              <w:br/>
              <w:t>Signature:</w:t>
            </w:r>
          </w:p>
        </w:tc>
        <w:tc>
          <w:tcPr>
            <w:tcW w:type="dxa" w:w="4320"/>
          </w:tcPr>
          <w:p>
            <w:r>
              <w:rPr>
                <w:sz w:val="20"/>
              </w:rPr>
              <w:br/>
              <w:t>Signature:</w:t>
            </w:r>
          </w:p>
        </w:tc>
      </w:tr>
      <w:tr>
        <w:tc>
          <w:tcPr>
            <w:tcW w:type="dxa" w:w="4320"/>
          </w:tcPr>
          <w:p>
            <w:r>
              <w:rPr>
                <w:sz w:val="20"/>
              </w:rPr>
              <w:br/>
              <w:t>Date:</w:t>
            </w:r>
          </w:p>
        </w:tc>
        <w:tc>
          <w:tcPr>
            <w:tcW w:type="dxa" w:w="4320"/>
          </w:tcPr>
          <w:p>
            <w:r>
              <w:rPr>
                <w:sz w:val="20"/>
              </w:rPr>
              <w:br/>
              <w:t>Date:</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Glimmora International  |  info@glimmora.ai  |  Statement of Work — GRC Platform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