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52"/>
        </w:rPr>
        <w:t>Glimmora International</w:t>
      </w:r>
    </w:p>
    <w:p>
      <w:pPr>
        <w:jc w:val="center"/>
      </w:pPr>
      <w:r>
        <w:rPr>
          <w:color w:val="2E86C1"/>
          <w:sz w:val="22"/>
        </w:rPr>
        <w:t>info@glimmora.ai</w:t>
      </w:r>
    </w:p>
    <w:p/>
    <w:p/>
    <w:p>
      <w:pPr>
        <w:jc w:val="center"/>
      </w:pPr>
      <w:r>
        <w:rPr>
          <w:b/>
          <w:color w:val="222222"/>
          <w:sz w:val="40"/>
        </w:rPr>
        <w:t>STATEMENT OF WORK</w:t>
      </w:r>
    </w:p>
    <w:p>
      <w:pPr>
        <w:jc w:val="center"/>
      </w:pPr>
      <w:r>
        <w:rPr>
          <w:b/>
          <w:color w:val="2E86C1"/>
          <w:sz w:val="32"/>
        </w:rPr>
        <w:t>Internal Audit Platform</w:t>
      </w:r>
    </w:p>
    <w:p>
      <w:pPr>
        <w:jc w:val="center"/>
      </w:pPr>
      <w:r>
        <w:rPr>
          <w:i/>
          <w:color w:val="555555"/>
          <w:sz w:val="22"/>
        </w:rPr>
        <w:t>Implementation of an end-to-end Internal Audit Management solution</w:t>
      </w:r>
    </w:p>
    <w:p/>
    <w:p/>
    <w:p/>
    <w:p/>
    <w:p/>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EAF1F8"/>
          </w:tcPr>
          <w:p>
            <w:r>
              <w:rPr>
                <w:b/>
                <w:color w:val="1F3A5F"/>
              </w:rPr>
              <w:t>Document Title</w:t>
            </w:r>
          </w:p>
        </w:tc>
        <w:tc>
          <w:tcPr>
            <w:tcW w:type="dxa" w:w="5472"/>
          </w:tcPr>
          <w:p>
            <w:r>
              <w:t>Statement of Work — Internal Audit Platform</w:t>
            </w:r>
          </w:p>
        </w:tc>
      </w:tr>
      <w:tr>
        <w:tc>
          <w:tcPr>
            <w:tcW w:type="dxa" w:w="3168"/>
            <w:shd w:val="clear" w:color="auto" w:fill="EAF1F8"/>
          </w:tcPr>
          <w:p>
            <w:r>
              <w:rPr>
                <w:b/>
                <w:color w:val="1F3A5F"/>
              </w:rPr>
              <w:t>Prepared By</w:t>
            </w:r>
          </w:p>
        </w:tc>
        <w:tc>
          <w:tcPr>
            <w:tcW w:type="dxa" w:w="5472"/>
          </w:tcPr>
          <w:p>
            <w:r>
              <w:t>Glimmora International</w:t>
            </w:r>
          </w:p>
        </w:tc>
      </w:tr>
      <w:tr>
        <w:tc>
          <w:tcPr>
            <w:tcW w:type="dxa" w:w="3168"/>
            <w:shd w:val="clear" w:color="auto" w:fill="EAF1F8"/>
          </w:tcPr>
          <w:p>
            <w:r>
              <w:rPr>
                <w:b/>
                <w:color w:val="1F3A5F"/>
              </w:rPr>
              <w:t>Contact</w:t>
            </w:r>
          </w:p>
        </w:tc>
        <w:tc>
          <w:tcPr>
            <w:tcW w:type="dxa" w:w="5472"/>
          </w:tcPr>
          <w:p>
            <w:r>
              <w:t>info@glimmora.ai</w:t>
            </w:r>
          </w:p>
        </w:tc>
      </w:tr>
      <w:tr>
        <w:tc>
          <w:tcPr>
            <w:tcW w:type="dxa" w:w="3168"/>
            <w:shd w:val="clear" w:color="auto" w:fill="EAF1F8"/>
          </w:tcPr>
          <w:p>
            <w:r>
              <w:rPr>
                <w:b/>
                <w:color w:val="1F3A5F"/>
              </w:rPr>
              <w:t>Document Date</w:t>
            </w:r>
          </w:p>
        </w:tc>
        <w:tc>
          <w:tcPr>
            <w:tcW w:type="dxa" w:w="5472"/>
          </w:tcPr>
          <w:p>
            <w:r>
              <w:t>01 June 2026</w:t>
            </w:r>
          </w:p>
        </w:tc>
      </w:tr>
      <w:tr>
        <w:tc>
          <w:tcPr>
            <w:tcW w:type="dxa" w:w="3168"/>
            <w:shd w:val="clear" w:color="auto" w:fill="EAF1F8"/>
          </w:tcPr>
          <w:p>
            <w:r>
              <w:rPr>
                <w:b/>
                <w:color w:val="1F3A5F"/>
              </w:rPr>
              <w:t>Version</w:t>
            </w:r>
          </w:p>
        </w:tc>
        <w:tc>
          <w:tcPr>
            <w:tcW w:type="dxa" w:w="5472"/>
          </w:tcPr>
          <w:p>
            <w:r>
              <w:t>1.0</w:t>
            </w:r>
          </w:p>
        </w:tc>
      </w:tr>
      <w:tr>
        <w:tc>
          <w:tcPr>
            <w:tcW w:type="dxa" w:w="3168"/>
            <w:shd w:val="clear" w:color="auto" w:fill="EAF1F8"/>
          </w:tcPr>
          <w:p>
            <w:r>
              <w:rPr>
                <w:b/>
                <w:color w:val="1F3A5F"/>
              </w:rPr>
              <w:t>Status</w:t>
            </w:r>
          </w:p>
        </w:tc>
        <w:tc>
          <w:tcPr>
            <w:tcW w:type="dxa" w:w="5472"/>
          </w:tcPr>
          <w:p>
            <w:r>
              <w:t>Draft for Client Review</w:t>
            </w:r>
          </w:p>
        </w:tc>
      </w:tr>
      <w:tr>
        <w:tc>
          <w:tcPr>
            <w:tcW w:type="dxa" w:w="3168"/>
            <w:shd w:val="clear" w:color="auto" w:fill="EAF1F8"/>
          </w:tcPr>
          <w:p>
            <w:r>
              <w:rPr>
                <w:b/>
                <w:color w:val="1F3A5F"/>
              </w:rPr>
              <w:t>Confidentiality</w:t>
            </w:r>
          </w:p>
        </w:tc>
        <w:tc>
          <w:tcPr>
            <w:tcW w:type="dxa" w:w="5472"/>
          </w:tcPr>
          <w:p>
            <w:r>
              <w:t>Confidential — For Recipient Use Only</w:t>
            </w:r>
          </w:p>
        </w:tc>
      </w:tr>
    </w:tbl>
    <w:p>
      <w:r>
        <w:br w:type="page"/>
      </w:r>
    </w:p>
    <w:p>
      <w:pPr>
        <w:pBdr>
          <w:bottom w:val="single" w:sz="6" w:space="2" w:color="2E86C1"/>
        </w:pBdr>
      </w:pPr>
      <w:r>
        <w:rPr>
          <w:b/>
          <w:color w:val="1F3A5F"/>
          <w:sz w:val="28"/>
        </w:rPr>
        <w:t>1.  Introduction &amp; Background</w:t>
      </w:r>
    </w:p>
    <w:p>
      <w:r>
        <w:t>The Internal Audit Platform digitises the complete internal audit lifecycle — from risk-based audit planning through fieldwork, findings, corrective actions and reporting. It replaces manual, spreadsheet-driven audit processes with a structured, traceable and collaborative workflow that strengthens assurance, improves auditor productivity, and gives management real-time visibility of the audit universe and remediation status.</w:t>
      </w:r>
    </w:p>
    <w:p>
      <w:r>
        <w:t>This Statement of Work ("SOW") is entered into between Glimmora International ("the Vendor", "we", "us") and the Client ("the Client", "you"). It defines the scope of work, deliverables, responsibilities, timeline and commercial framework for the implementation of the Internal Audit Platform. This SOW is to be read together with, and is subject to, the Master Services Agreement or equivalent contractual arrangement agreed between the parties.</w:t>
      </w:r>
    </w:p>
    <w:p>
      <w:pPr>
        <w:pBdr>
          <w:bottom w:val="single" w:sz="6" w:space="2" w:color="2E86C1"/>
        </w:pBdr>
      </w:pPr>
      <w:r>
        <w:rPr>
          <w:b/>
          <w:color w:val="1F3A5F"/>
          <w:sz w:val="28"/>
        </w:rPr>
        <w:t>2.  Objectives</w:t>
      </w:r>
    </w:p>
    <w:p>
      <w:r>
        <w:t>The engagement is designed to achieve the following outcomes:</w:t>
      </w:r>
    </w:p>
    <w:p>
      <w:pPr>
        <w:pStyle w:val="ListBullet"/>
      </w:pPr>
      <w:r>
        <w:t>Build and maintain a risk-based audit universe and annual audit plan.</w:t>
      </w:r>
    </w:p>
    <w:p>
      <w:pPr>
        <w:pStyle w:val="ListBullet"/>
      </w:pPr>
      <w:r>
        <w:t>Standardise audit execution — planning, fieldwork, working papers and evidence.</w:t>
      </w:r>
    </w:p>
    <w:p>
      <w:pPr>
        <w:pStyle w:val="ListBullet"/>
      </w:pPr>
      <w:r>
        <w:t>Capture findings and drive Corrective and Preventive Action (CAPA) to closure.</w:t>
      </w:r>
    </w:p>
    <w:p>
      <w:pPr>
        <w:pStyle w:val="ListBullet"/>
      </w:pPr>
      <w:r>
        <w:t>Provide real-time dashboards on audit progress, findings and overdue actions.</w:t>
      </w:r>
    </w:p>
    <w:p>
      <w:pPr>
        <w:pStyle w:val="ListBullet"/>
      </w:pPr>
      <w:r>
        <w:t>Enforce role-based segregation across audit roles (Head, Manager, Auditor, Auditee).</w:t>
      </w:r>
    </w:p>
    <w:p>
      <w:pPr>
        <w:pStyle w:val="ListBullet"/>
      </w:pPr>
      <w:r>
        <w:t>Maintain a defensible, time-stamped audit trail for quality assurance and external review.</w:t>
      </w:r>
    </w:p>
    <w:p>
      <w:pPr>
        <w:pBdr>
          <w:bottom w:val="single" w:sz="6" w:space="2" w:color="2E86C1"/>
        </w:pBdr>
      </w:pPr>
      <w:r>
        <w:rPr>
          <w:b/>
          <w:color w:val="1F3A5F"/>
          <w:sz w:val="28"/>
        </w:rPr>
        <w:t>3.  Scope of Work — Functional Modules</w:t>
      </w:r>
    </w:p>
    <w:p>
      <w:r>
        <w:t>The following modules and capabilities are in scope for the Internal Audit Platform implementation:</w:t>
      </w:r>
    </w:p>
    <w:p>
      <w:r>
        <w:rPr>
          <w:b/>
          <w:color w:val="2E86C1"/>
          <w:sz w:val="23"/>
        </w:rPr>
        <w:t>3.1  Audit Universe &amp; Risk Assessment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sz w:val="20"/>
              </w:rPr>
              <w:t>Capability</w:t>
            </w:r>
          </w:p>
        </w:tc>
        <w:tc>
          <w:tcPr>
            <w:tcW w:type="dxa" w:w="4320"/>
            <w:shd w:val="clear" w:color="auto" w:fill="1F3A5F"/>
          </w:tcPr>
          <w:p>
            <w:r>
              <w:rPr>
                <w:b/>
                <w:color w:val="FFFFFF"/>
                <w:sz w:val="20"/>
              </w:rPr>
              <w:t>Description</w:t>
            </w:r>
          </w:p>
        </w:tc>
      </w:tr>
      <w:tr>
        <w:tc>
          <w:tcPr>
            <w:tcW w:type="dxa" w:w="4320"/>
          </w:tcPr>
          <w:p>
            <w:r>
              <w:rPr>
                <w:sz w:val="19"/>
              </w:rPr>
              <w:t>Audit Universe</w:t>
            </w:r>
          </w:p>
        </w:tc>
        <w:tc>
          <w:tcPr>
            <w:tcW w:type="dxa" w:w="4320"/>
          </w:tcPr>
          <w:p>
            <w:r>
              <w:rPr>
                <w:sz w:val="19"/>
              </w:rPr>
              <w:t>Catalogue of auditable entities, processes and units.</w:t>
            </w:r>
          </w:p>
        </w:tc>
      </w:tr>
      <w:tr>
        <w:tc>
          <w:tcPr>
            <w:tcW w:type="dxa" w:w="4320"/>
          </w:tcPr>
          <w:p>
            <w:r>
              <w:rPr>
                <w:sz w:val="19"/>
              </w:rPr>
              <w:t>Risk-Based Scoring</w:t>
            </w:r>
          </w:p>
        </w:tc>
        <w:tc>
          <w:tcPr>
            <w:tcW w:type="dxa" w:w="4320"/>
          </w:tcPr>
          <w:p>
            <w:r>
              <w:rPr>
                <w:sz w:val="19"/>
              </w:rPr>
              <w:t>Score and rank auditable entities by risk.</w:t>
            </w:r>
          </w:p>
        </w:tc>
      </w:tr>
      <w:tr>
        <w:tc>
          <w:tcPr>
            <w:tcW w:type="dxa" w:w="4320"/>
          </w:tcPr>
          <w:p>
            <w:r>
              <w:rPr>
                <w:sz w:val="19"/>
              </w:rPr>
              <w:t>Audit Organization</w:t>
            </w:r>
          </w:p>
        </w:tc>
        <w:tc>
          <w:tcPr>
            <w:tcW w:type="dxa" w:w="4320"/>
          </w:tcPr>
          <w:p>
            <w:r>
              <w:rPr>
                <w:sz w:val="19"/>
              </w:rPr>
              <w:t>Audit function structure, including IA process setup.</w:t>
            </w:r>
          </w:p>
        </w:tc>
      </w:tr>
    </w:tbl>
    <w:p>
      <w:r>
        <w:rPr>
          <w:b/>
          <w:color w:val="2E86C1"/>
          <w:sz w:val="23"/>
        </w:rPr>
        <w:t>3.2  Audit Planning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sz w:val="20"/>
              </w:rPr>
              <w:t>Capability</w:t>
            </w:r>
          </w:p>
        </w:tc>
        <w:tc>
          <w:tcPr>
            <w:tcW w:type="dxa" w:w="4320"/>
            <w:shd w:val="clear" w:color="auto" w:fill="1F3A5F"/>
          </w:tcPr>
          <w:p>
            <w:r>
              <w:rPr>
                <w:b/>
                <w:color w:val="FFFFFF"/>
                <w:sz w:val="20"/>
              </w:rPr>
              <w:t>Description</w:t>
            </w:r>
          </w:p>
        </w:tc>
      </w:tr>
      <w:tr>
        <w:tc>
          <w:tcPr>
            <w:tcW w:type="dxa" w:w="4320"/>
          </w:tcPr>
          <w:p>
            <w:r>
              <w:rPr>
                <w:sz w:val="19"/>
              </w:rPr>
              <w:t>Annual / Periodic Plan</w:t>
            </w:r>
          </w:p>
        </w:tc>
        <w:tc>
          <w:tcPr>
            <w:tcW w:type="dxa" w:w="4320"/>
          </w:tcPr>
          <w:p>
            <w:r>
              <w:rPr>
                <w:sz w:val="19"/>
              </w:rPr>
              <w:t>Build the risk-based audit plan and calendar.</w:t>
            </w:r>
          </w:p>
        </w:tc>
      </w:tr>
      <w:tr>
        <w:tc>
          <w:tcPr>
            <w:tcW w:type="dxa" w:w="4320"/>
          </w:tcPr>
          <w:p>
            <w:r>
              <w:rPr>
                <w:sz w:val="19"/>
              </w:rPr>
              <w:t>Engagement Scoping</w:t>
            </w:r>
          </w:p>
        </w:tc>
        <w:tc>
          <w:tcPr>
            <w:tcW w:type="dxa" w:w="4320"/>
          </w:tcPr>
          <w:p>
            <w:r>
              <w:rPr>
                <w:sz w:val="19"/>
              </w:rPr>
              <w:t>Define objectives, scope, criteria and resourcing.</w:t>
            </w:r>
          </w:p>
        </w:tc>
      </w:tr>
      <w:tr>
        <w:tc>
          <w:tcPr>
            <w:tcW w:type="dxa" w:w="4320"/>
          </w:tcPr>
          <w:p>
            <w:r>
              <w:rPr>
                <w:sz w:val="19"/>
              </w:rPr>
              <w:t>Resource Allocation</w:t>
            </w:r>
          </w:p>
        </w:tc>
        <w:tc>
          <w:tcPr>
            <w:tcW w:type="dxa" w:w="4320"/>
          </w:tcPr>
          <w:p>
            <w:r>
              <w:rPr>
                <w:sz w:val="19"/>
              </w:rPr>
              <w:t>Assign auditors and schedule engagements.</w:t>
            </w:r>
          </w:p>
        </w:tc>
      </w:tr>
    </w:tbl>
    <w:p>
      <w:r>
        <w:rPr>
          <w:b/>
          <w:color w:val="2E86C1"/>
          <w:sz w:val="23"/>
        </w:rPr>
        <w:t>3.3  Fieldwork &amp; Execution</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sz w:val="20"/>
              </w:rPr>
              <w:t>Capability</w:t>
            </w:r>
          </w:p>
        </w:tc>
        <w:tc>
          <w:tcPr>
            <w:tcW w:type="dxa" w:w="4320"/>
            <w:shd w:val="clear" w:color="auto" w:fill="1F3A5F"/>
          </w:tcPr>
          <w:p>
            <w:r>
              <w:rPr>
                <w:b/>
                <w:color w:val="FFFFFF"/>
                <w:sz w:val="20"/>
              </w:rPr>
              <w:t>Description</w:t>
            </w:r>
          </w:p>
        </w:tc>
      </w:tr>
      <w:tr>
        <w:tc>
          <w:tcPr>
            <w:tcW w:type="dxa" w:w="4320"/>
          </w:tcPr>
          <w:p>
            <w:r>
              <w:rPr>
                <w:sz w:val="19"/>
              </w:rPr>
              <w:t>Working Papers</w:t>
            </w:r>
          </w:p>
        </w:tc>
        <w:tc>
          <w:tcPr>
            <w:tcW w:type="dxa" w:w="4320"/>
          </w:tcPr>
          <w:p>
            <w:r>
              <w:rPr>
                <w:sz w:val="19"/>
              </w:rPr>
              <w:t>Structured workpapers with review/sign-off workflow.</w:t>
            </w:r>
          </w:p>
        </w:tc>
      </w:tr>
      <w:tr>
        <w:tc>
          <w:tcPr>
            <w:tcW w:type="dxa" w:w="4320"/>
          </w:tcPr>
          <w:p>
            <w:r>
              <w:rPr>
                <w:sz w:val="19"/>
              </w:rPr>
              <w:t>Evidence Management</w:t>
            </w:r>
          </w:p>
        </w:tc>
        <w:tc>
          <w:tcPr>
            <w:tcW w:type="dxa" w:w="4320"/>
          </w:tcPr>
          <w:p>
            <w:r>
              <w:rPr>
                <w:sz w:val="19"/>
              </w:rPr>
              <w:t>Attach, link and secure audit evidence.</w:t>
            </w:r>
          </w:p>
        </w:tc>
      </w:tr>
      <w:tr>
        <w:tc>
          <w:tcPr>
            <w:tcW w:type="dxa" w:w="4320"/>
          </w:tcPr>
          <w:p>
            <w:r>
              <w:rPr>
                <w:sz w:val="19"/>
              </w:rPr>
              <w:t>Test Procedures</w:t>
            </w:r>
          </w:p>
        </w:tc>
        <w:tc>
          <w:tcPr>
            <w:tcW w:type="dxa" w:w="4320"/>
          </w:tcPr>
          <w:p>
            <w:r>
              <w:rPr>
                <w:sz w:val="19"/>
              </w:rPr>
              <w:t>Document test steps, results and conclusions.</w:t>
            </w:r>
          </w:p>
        </w:tc>
      </w:tr>
      <w:tr>
        <w:tc>
          <w:tcPr>
            <w:tcW w:type="dxa" w:w="4320"/>
          </w:tcPr>
          <w:p>
            <w:r>
              <w:rPr>
                <w:sz w:val="19"/>
              </w:rPr>
              <w:t>Auditee Collaboration</w:t>
            </w:r>
          </w:p>
        </w:tc>
        <w:tc>
          <w:tcPr>
            <w:tcW w:type="dxa" w:w="4320"/>
          </w:tcPr>
          <w:p>
            <w:r>
              <w:rPr>
                <w:sz w:val="19"/>
              </w:rPr>
              <w:t>Request information and responses from auditees.</w:t>
            </w:r>
          </w:p>
        </w:tc>
      </w:tr>
    </w:tbl>
    <w:p>
      <w:r>
        <w:rPr>
          <w:b/>
          <w:color w:val="2E86C1"/>
          <w:sz w:val="23"/>
        </w:rPr>
        <w:t>3.4  Findings &amp; CAPA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sz w:val="20"/>
              </w:rPr>
              <w:t>Capability</w:t>
            </w:r>
          </w:p>
        </w:tc>
        <w:tc>
          <w:tcPr>
            <w:tcW w:type="dxa" w:w="4320"/>
            <w:shd w:val="clear" w:color="auto" w:fill="1F3A5F"/>
          </w:tcPr>
          <w:p>
            <w:r>
              <w:rPr>
                <w:b/>
                <w:color w:val="FFFFFF"/>
                <w:sz w:val="20"/>
              </w:rPr>
              <w:t>Description</w:t>
            </w:r>
          </w:p>
        </w:tc>
      </w:tr>
      <w:tr>
        <w:tc>
          <w:tcPr>
            <w:tcW w:type="dxa" w:w="4320"/>
          </w:tcPr>
          <w:p>
            <w:r>
              <w:rPr>
                <w:sz w:val="19"/>
              </w:rPr>
              <w:t>Findings Register</w:t>
            </w:r>
          </w:p>
        </w:tc>
        <w:tc>
          <w:tcPr>
            <w:tcW w:type="dxa" w:w="4320"/>
          </w:tcPr>
          <w:p>
            <w:r>
              <w:rPr>
                <w:sz w:val="19"/>
              </w:rPr>
              <w:t>Record observations, ratings, root cause and impact.</w:t>
            </w:r>
          </w:p>
        </w:tc>
      </w:tr>
      <w:tr>
        <w:tc>
          <w:tcPr>
            <w:tcW w:type="dxa" w:w="4320"/>
          </w:tcPr>
          <w:p>
            <w:r>
              <w:rPr>
                <w:sz w:val="19"/>
              </w:rPr>
              <w:t>CAPA Tracking</w:t>
            </w:r>
          </w:p>
        </w:tc>
        <w:tc>
          <w:tcPr>
            <w:tcW w:type="dxa" w:w="4320"/>
          </w:tcPr>
          <w:p>
            <w:r>
              <w:rPr>
                <w:sz w:val="19"/>
              </w:rPr>
              <w:t>Corrective/Preventive actions with owners and due dates.</w:t>
            </w:r>
          </w:p>
        </w:tc>
      </w:tr>
      <w:tr>
        <w:tc>
          <w:tcPr>
            <w:tcW w:type="dxa" w:w="4320"/>
          </w:tcPr>
          <w:p>
            <w:r>
              <w:rPr>
                <w:sz w:val="19"/>
              </w:rPr>
              <w:t>Remediation Workflow</w:t>
            </w:r>
          </w:p>
        </w:tc>
        <w:tc>
          <w:tcPr>
            <w:tcW w:type="dxa" w:w="4320"/>
          </w:tcPr>
          <w:p>
            <w:r>
              <w:rPr>
                <w:sz w:val="19"/>
              </w:rPr>
              <w:t>Track action status through to verified closure.</w:t>
            </w:r>
          </w:p>
        </w:tc>
      </w:tr>
      <w:tr>
        <w:tc>
          <w:tcPr>
            <w:tcW w:type="dxa" w:w="4320"/>
          </w:tcPr>
          <w:p>
            <w:r>
              <w:rPr>
                <w:sz w:val="19"/>
              </w:rPr>
              <w:t>Overdue Escalation</w:t>
            </w:r>
          </w:p>
        </w:tc>
        <w:tc>
          <w:tcPr>
            <w:tcW w:type="dxa" w:w="4320"/>
          </w:tcPr>
          <w:p>
            <w:r>
              <w:rPr>
                <w:sz w:val="19"/>
              </w:rPr>
              <w:t>Automated reminders and escalation for overdue actions.</w:t>
            </w:r>
          </w:p>
        </w:tc>
      </w:tr>
    </w:tbl>
    <w:p>
      <w:r>
        <w:rPr>
          <w:b/>
          <w:color w:val="2E86C1"/>
          <w:sz w:val="23"/>
        </w:rPr>
        <w:t>3.5  Reporting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A5F"/>
          </w:tcPr>
          <w:p>
            <w:r>
              <w:rPr>
                <w:b/>
                <w:color w:val="FFFFFF"/>
                <w:sz w:val="20"/>
              </w:rPr>
              <w:t>Capability</w:t>
            </w:r>
          </w:p>
        </w:tc>
        <w:tc>
          <w:tcPr>
            <w:tcW w:type="dxa" w:w="4320"/>
            <w:shd w:val="clear" w:color="auto" w:fill="1F3A5F"/>
          </w:tcPr>
          <w:p>
            <w:r>
              <w:rPr>
                <w:b/>
                <w:color w:val="FFFFFF"/>
                <w:sz w:val="20"/>
              </w:rPr>
              <w:t>Description</w:t>
            </w:r>
          </w:p>
        </w:tc>
      </w:tr>
      <w:tr>
        <w:tc>
          <w:tcPr>
            <w:tcW w:type="dxa" w:w="4320"/>
          </w:tcPr>
          <w:p>
            <w:r>
              <w:rPr>
                <w:sz w:val="19"/>
              </w:rPr>
              <w:t>Audit Reports</w:t>
            </w:r>
          </w:p>
        </w:tc>
        <w:tc>
          <w:tcPr>
            <w:tcW w:type="dxa" w:w="4320"/>
          </w:tcPr>
          <w:p>
            <w:r>
              <w:rPr>
                <w:sz w:val="19"/>
              </w:rPr>
              <w:t>Generate structured engagement reports.</w:t>
            </w:r>
          </w:p>
        </w:tc>
      </w:tr>
      <w:tr>
        <w:tc>
          <w:tcPr>
            <w:tcW w:type="dxa" w:w="4320"/>
          </w:tcPr>
          <w:p>
            <w:r>
              <w:rPr>
                <w:sz w:val="19"/>
              </w:rPr>
              <w:t>Dashboards</w:t>
            </w:r>
          </w:p>
        </w:tc>
        <w:tc>
          <w:tcPr>
            <w:tcW w:type="dxa" w:w="4320"/>
          </w:tcPr>
          <w:p>
            <w:r>
              <w:rPr>
                <w:sz w:val="19"/>
              </w:rPr>
              <w:t>Real-time status of plan, findings and CAPA.</w:t>
            </w:r>
          </w:p>
        </w:tc>
      </w:tr>
      <w:tr>
        <w:tc>
          <w:tcPr>
            <w:tcW w:type="dxa" w:w="4320"/>
          </w:tcPr>
          <w:p>
            <w:r>
              <w:rPr>
                <w:sz w:val="19"/>
              </w:rPr>
              <w:t>Management &amp; Committee Reporting</w:t>
            </w:r>
          </w:p>
        </w:tc>
        <w:tc>
          <w:tcPr>
            <w:tcW w:type="dxa" w:w="4320"/>
          </w:tcPr>
          <w:p>
            <w:r>
              <w:rPr>
                <w:sz w:val="19"/>
              </w:rPr>
              <w:t>Summarised assurance views for leadership/Audit Committee.</w:t>
            </w:r>
          </w:p>
        </w:tc>
      </w:tr>
    </w:tbl>
    <w:p>
      <w:r>
        <w:rPr>
          <w:b/>
          <w:color w:val="2E86C1"/>
          <w:sz w:val="23"/>
        </w:rPr>
        <w:t>3.6  Platform &amp; Cross-Cutting Capabilities</w:t>
      </w:r>
    </w:p>
    <w:p>
      <w:pPr>
        <w:pStyle w:val="ListBullet"/>
      </w:pPr>
      <w:r>
        <w:t>Role-Based Access Control with dedicated audit roles (Audit Head, Audit Manager, Auditor, Auditee) and multi-tenant isolation.</w:t>
      </w:r>
    </w:p>
    <w:p>
      <w:pPr>
        <w:pStyle w:val="ListBullet"/>
      </w:pPr>
      <w:r>
        <w:t>Configurable dashboards, exports and report generation.</w:t>
      </w:r>
    </w:p>
    <w:p>
      <w:pPr>
        <w:pStyle w:val="ListBullet"/>
      </w:pPr>
      <w:r>
        <w:t>Automated notifications and daily due-date reminders for findings and CAPA.</w:t>
      </w:r>
    </w:p>
    <w:p>
      <w:pPr>
        <w:pStyle w:val="ListBullet"/>
      </w:pPr>
      <w:r>
        <w:t>Field-level encryption at rest (AES-256-GCM) and TLS in transit for sensitive audit data.</w:t>
      </w:r>
    </w:p>
    <w:p>
      <w:pPr>
        <w:pStyle w:val="ListBullet"/>
      </w:pPr>
      <w:r>
        <w:t>Complete, time-stamped audit trail across the engagement lifecycle.</w:t>
      </w:r>
    </w:p>
    <w:p>
      <w:pPr>
        <w:pStyle w:val="ListBullet"/>
      </w:pPr>
      <w:r>
        <w:t>Multilingual UI and dynamic data translation (English, Arabic RTL, Latvian).</w:t>
      </w:r>
    </w:p>
    <w:p>
      <w:pPr>
        <w:pStyle w:val="ListBullet"/>
      </w:pPr>
      <w:r>
        <w:t>AI-assisted guidance via integrated assistant (where enabled).</w:t>
      </w:r>
    </w:p>
    <w:p>
      <w:pPr>
        <w:pBdr>
          <w:bottom w:val="single" w:sz="6" w:space="2" w:color="2E86C1"/>
        </w:pBdr>
      </w:pPr>
      <w:r>
        <w:rPr>
          <w:b/>
          <w:color w:val="1F3A5F"/>
          <w:sz w:val="28"/>
        </w:rPr>
        <w:t>4.  Deliverables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Pr>
                <w:b/>
                <w:color w:val="FFFFFF"/>
                <w:sz w:val="20"/>
              </w:rPr>
              <w:t>#</w:t>
            </w:r>
          </w:p>
        </w:tc>
        <w:tc>
          <w:tcPr>
            <w:tcW w:type="dxa" w:w="2880"/>
            <w:shd w:val="clear" w:color="auto" w:fill="1F3A5F"/>
          </w:tcPr>
          <w:p>
            <w:r>
              <w:rPr>
                <w:b/>
                <w:color w:val="FFFFFF"/>
                <w:sz w:val="20"/>
              </w:rPr>
              <w:t>Deliverable</w:t>
            </w:r>
          </w:p>
        </w:tc>
        <w:tc>
          <w:tcPr>
            <w:tcW w:type="dxa" w:w="2880"/>
            <w:shd w:val="clear" w:color="auto" w:fill="1F3A5F"/>
          </w:tcPr>
          <w:p>
            <w:r>
              <w:rPr>
                <w:b/>
                <w:color w:val="FFFFFF"/>
                <w:sz w:val="20"/>
              </w:rPr>
              <w:t>Format</w:t>
            </w:r>
          </w:p>
        </w:tc>
      </w:tr>
      <w:tr>
        <w:tc>
          <w:tcPr>
            <w:tcW w:type="dxa" w:w="2880"/>
          </w:tcPr>
          <w:p>
            <w:r>
              <w:rPr>
                <w:sz w:val="19"/>
              </w:rPr>
              <w:t>D1</w:t>
            </w:r>
          </w:p>
        </w:tc>
        <w:tc>
          <w:tcPr>
            <w:tcW w:type="dxa" w:w="2880"/>
          </w:tcPr>
          <w:p>
            <w:r>
              <w:rPr>
                <w:sz w:val="19"/>
              </w:rPr>
              <w:t>Solution Design &amp; Requirements Baseline document</w:t>
            </w:r>
          </w:p>
        </w:tc>
        <w:tc>
          <w:tcPr>
            <w:tcW w:type="dxa" w:w="2880"/>
          </w:tcPr>
          <w:p>
            <w:r>
              <w:rPr>
                <w:sz w:val="19"/>
              </w:rPr>
              <w:t>Document</w:t>
            </w:r>
          </w:p>
        </w:tc>
      </w:tr>
      <w:tr>
        <w:tc>
          <w:tcPr>
            <w:tcW w:type="dxa" w:w="2880"/>
          </w:tcPr>
          <w:p>
            <w:r>
              <w:rPr>
                <w:sz w:val="19"/>
              </w:rPr>
              <w:t>D2</w:t>
            </w:r>
          </w:p>
        </w:tc>
        <w:tc>
          <w:tcPr>
            <w:tcW w:type="dxa" w:w="2880"/>
          </w:tcPr>
          <w:p>
            <w:r>
              <w:rPr>
                <w:sz w:val="19"/>
              </w:rPr>
              <w:t>Configured Internal Audit environment (all in-scope modules)</w:t>
            </w:r>
          </w:p>
        </w:tc>
        <w:tc>
          <w:tcPr>
            <w:tcW w:type="dxa" w:w="2880"/>
          </w:tcPr>
          <w:p>
            <w:r>
              <w:rPr>
                <w:sz w:val="19"/>
              </w:rPr>
              <w:t>Working system</w:t>
            </w:r>
          </w:p>
        </w:tc>
      </w:tr>
      <w:tr>
        <w:tc>
          <w:tcPr>
            <w:tcW w:type="dxa" w:w="2880"/>
          </w:tcPr>
          <w:p>
            <w:r>
              <w:rPr>
                <w:sz w:val="19"/>
              </w:rPr>
              <w:t>D3</w:t>
            </w:r>
          </w:p>
        </w:tc>
        <w:tc>
          <w:tcPr>
            <w:tcW w:type="dxa" w:w="2880"/>
          </w:tcPr>
          <w:p>
            <w:r>
              <w:rPr>
                <w:sz w:val="19"/>
              </w:rPr>
              <w:t>Audit role matrix and tenant configuration</w:t>
            </w:r>
          </w:p>
        </w:tc>
        <w:tc>
          <w:tcPr>
            <w:tcW w:type="dxa" w:w="2880"/>
          </w:tcPr>
          <w:p>
            <w:r>
              <w:rPr>
                <w:sz w:val="19"/>
              </w:rPr>
              <w:t>Configuration + doc</w:t>
            </w:r>
          </w:p>
        </w:tc>
      </w:tr>
      <w:tr>
        <w:tc>
          <w:tcPr>
            <w:tcW w:type="dxa" w:w="2880"/>
          </w:tcPr>
          <w:p>
            <w:r>
              <w:rPr>
                <w:sz w:val="19"/>
              </w:rPr>
              <w:t>D4</w:t>
            </w:r>
          </w:p>
        </w:tc>
        <w:tc>
          <w:tcPr>
            <w:tcW w:type="dxa" w:w="2880"/>
          </w:tcPr>
          <w:p>
            <w:r>
              <w:rPr>
                <w:sz w:val="19"/>
              </w:rPr>
              <w:t>Audit universe and plan setup with agreed data</w:t>
            </w:r>
          </w:p>
        </w:tc>
        <w:tc>
          <w:tcPr>
            <w:tcW w:type="dxa" w:w="2880"/>
          </w:tcPr>
          <w:p>
            <w:r>
              <w:rPr>
                <w:sz w:val="19"/>
              </w:rPr>
              <w:t>Loaded data + report</w:t>
            </w:r>
          </w:p>
        </w:tc>
      </w:tr>
      <w:tr>
        <w:tc>
          <w:tcPr>
            <w:tcW w:type="dxa" w:w="2880"/>
          </w:tcPr>
          <w:p>
            <w:r>
              <w:rPr>
                <w:sz w:val="19"/>
              </w:rPr>
              <w:t>D5</w:t>
            </w:r>
          </w:p>
        </w:tc>
        <w:tc>
          <w:tcPr>
            <w:tcW w:type="dxa" w:w="2880"/>
          </w:tcPr>
          <w:p>
            <w:r>
              <w:rPr>
                <w:sz w:val="19"/>
              </w:rPr>
              <w:t>Working-paper and report templates</w:t>
            </w:r>
          </w:p>
        </w:tc>
        <w:tc>
          <w:tcPr>
            <w:tcW w:type="dxa" w:w="2880"/>
          </w:tcPr>
          <w:p>
            <w:r>
              <w:rPr>
                <w:sz w:val="19"/>
              </w:rPr>
              <w:t>Templates</w:t>
            </w:r>
          </w:p>
        </w:tc>
      </w:tr>
      <w:tr>
        <w:tc>
          <w:tcPr>
            <w:tcW w:type="dxa" w:w="2880"/>
          </w:tcPr>
          <w:p>
            <w:r>
              <w:rPr>
                <w:sz w:val="19"/>
              </w:rPr>
              <w:t>D6</w:t>
            </w:r>
          </w:p>
        </w:tc>
        <w:tc>
          <w:tcPr>
            <w:tcW w:type="dxa" w:w="2880"/>
          </w:tcPr>
          <w:p>
            <w:r>
              <w:rPr>
                <w:sz w:val="19"/>
              </w:rPr>
              <w:t>UAT support pack and defect log</w:t>
            </w:r>
          </w:p>
        </w:tc>
        <w:tc>
          <w:tcPr>
            <w:tcW w:type="dxa" w:w="2880"/>
          </w:tcPr>
          <w:p>
            <w:r>
              <w:rPr>
                <w:sz w:val="19"/>
              </w:rPr>
              <w:t>Documents</w:t>
            </w:r>
          </w:p>
        </w:tc>
      </w:tr>
      <w:tr>
        <w:tc>
          <w:tcPr>
            <w:tcW w:type="dxa" w:w="2880"/>
          </w:tcPr>
          <w:p>
            <w:r>
              <w:rPr>
                <w:sz w:val="19"/>
              </w:rPr>
              <w:t>D7</w:t>
            </w:r>
          </w:p>
        </w:tc>
        <w:tc>
          <w:tcPr>
            <w:tcW w:type="dxa" w:w="2880"/>
          </w:tcPr>
          <w:p>
            <w:r>
              <w:rPr>
                <w:sz w:val="19"/>
              </w:rPr>
              <w:t>Administrator &amp; auditor user guides</w:t>
            </w:r>
          </w:p>
        </w:tc>
        <w:tc>
          <w:tcPr>
            <w:tcW w:type="dxa" w:w="2880"/>
          </w:tcPr>
          <w:p>
            <w:r>
              <w:rPr>
                <w:sz w:val="19"/>
              </w:rPr>
              <w:t>Documents</w:t>
            </w:r>
          </w:p>
        </w:tc>
      </w:tr>
      <w:tr>
        <w:tc>
          <w:tcPr>
            <w:tcW w:type="dxa" w:w="2880"/>
          </w:tcPr>
          <w:p>
            <w:r>
              <w:rPr>
                <w:sz w:val="19"/>
              </w:rPr>
              <w:t>D8</w:t>
            </w:r>
          </w:p>
        </w:tc>
        <w:tc>
          <w:tcPr>
            <w:tcW w:type="dxa" w:w="2880"/>
          </w:tcPr>
          <w:p>
            <w:r>
              <w:rPr>
                <w:sz w:val="19"/>
              </w:rPr>
              <w:t>Training sessions (administrators, auditors, auditees)</w:t>
            </w:r>
          </w:p>
        </w:tc>
        <w:tc>
          <w:tcPr>
            <w:tcW w:type="dxa" w:w="2880"/>
          </w:tcPr>
          <w:p>
            <w:r>
              <w:rPr>
                <w:sz w:val="19"/>
              </w:rPr>
              <w:t>Sessions</w:t>
            </w:r>
          </w:p>
        </w:tc>
      </w:tr>
      <w:tr>
        <w:tc>
          <w:tcPr>
            <w:tcW w:type="dxa" w:w="2880"/>
          </w:tcPr>
          <w:p>
            <w:r>
              <w:rPr>
                <w:sz w:val="19"/>
              </w:rPr>
              <w:t>D9</w:t>
            </w:r>
          </w:p>
        </w:tc>
        <w:tc>
          <w:tcPr>
            <w:tcW w:type="dxa" w:w="2880"/>
          </w:tcPr>
          <w:p>
            <w:r>
              <w:rPr>
                <w:sz w:val="19"/>
              </w:rPr>
              <w:t>Go-live and hypercare support</w:t>
            </w:r>
          </w:p>
        </w:tc>
        <w:tc>
          <w:tcPr>
            <w:tcW w:type="dxa" w:w="2880"/>
          </w:tcPr>
          <w:p>
            <w:r>
              <w:rPr>
                <w:sz w:val="19"/>
              </w:rPr>
              <w:t>Service</w:t>
            </w:r>
          </w:p>
        </w:tc>
      </w:tr>
    </w:tbl>
    <w:p>
      <w:pPr>
        <w:pBdr>
          <w:bottom w:val="single" w:sz="6" w:space="2" w:color="2E86C1"/>
        </w:pBdr>
      </w:pPr>
      <w:r>
        <w:rPr>
          <w:b/>
          <w:color w:val="1F3A5F"/>
          <w:sz w:val="28"/>
        </w:rPr>
        <w:t>5.  Project Approach &amp; Indicative Timeline</w:t>
      </w:r>
    </w:p>
    <w:p>
      <w:r>
        <w:t>Delivery follows a phased, milestone-based methodology. The indicative durations below are refined during the Initiation phase and confirmed in the detailed project plan.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Pr>
                <w:b/>
                <w:color w:val="FFFFFF"/>
                <w:sz w:val="20"/>
              </w:rPr>
              <w:t>Phase</w:t>
            </w:r>
          </w:p>
        </w:tc>
        <w:tc>
          <w:tcPr>
            <w:tcW w:type="dxa" w:w="2880"/>
            <w:shd w:val="clear" w:color="auto" w:fill="1F3A5F"/>
          </w:tcPr>
          <w:p>
            <w:r>
              <w:rPr>
                <w:b/>
                <w:color w:val="FFFFFF"/>
                <w:sz w:val="20"/>
              </w:rPr>
              <w:t>Key Activities</w:t>
            </w:r>
          </w:p>
        </w:tc>
        <w:tc>
          <w:tcPr>
            <w:tcW w:type="dxa" w:w="2880"/>
            <w:shd w:val="clear" w:color="auto" w:fill="1F3A5F"/>
          </w:tcPr>
          <w:p>
            <w:r>
              <w:rPr>
                <w:b/>
                <w:color w:val="FFFFFF"/>
                <w:sz w:val="20"/>
              </w:rPr>
              <w:t>Indicative Duration</w:t>
            </w:r>
          </w:p>
        </w:tc>
      </w:tr>
      <w:tr>
        <w:tc>
          <w:tcPr>
            <w:tcW w:type="dxa" w:w="2880"/>
          </w:tcPr>
          <w:p>
            <w:r>
              <w:rPr>
                <w:sz w:val="19"/>
              </w:rPr>
              <w:t>1. Initiation</w:t>
            </w:r>
          </w:p>
        </w:tc>
        <w:tc>
          <w:tcPr>
            <w:tcW w:type="dxa" w:w="2880"/>
          </w:tcPr>
          <w:p>
            <w:r>
              <w:rPr>
                <w:sz w:val="19"/>
              </w:rPr>
              <w:t>Kick-off, governance setup, environment provisioning</w:t>
            </w:r>
          </w:p>
        </w:tc>
        <w:tc>
          <w:tcPr>
            <w:tcW w:type="dxa" w:w="2880"/>
          </w:tcPr>
          <w:p>
            <w:r>
              <w:rPr>
                <w:sz w:val="19"/>
              </w:rPr>
              <w:t>1–2 weeks</w:t>
            </w:r>
          </w:p>
        </w:tc>
      </w:tr>
      <w:tr>
        <w:tc>
          <w:tcPr>
            <w:tcW w:type="dxa" w:w="2880"/>
          </w:tcPr>
          <w:p>
            <w:r>
              <w:rPr>
                <w:sz w:val="19"/>
              </w:rPr>
              <w:t>2. Design</w:t>
            </w:r>
          </w:p>
        </w:tc>
        <w:tc>
          <w:tcPr>
            <w:tcW w:type="dxa" w:w="2880"/>
          </w:tcPr>
          <w:p>
            <w:r>
              <w:rPr>
                <w:sz w:val="19"/>
              </w:rPr>
              <w:t>Audit methodology workshops, solution design, sign-off</w:t>
            </w:r>
          </w:p>
        </w:tc>
        <w:tc>
          <w:tcPr>
            <w:tcW w:type="dxa" w:w="2880"/>
          </w:tcPr>
          <w:p>
            <w:r>
              <w:rPr>
                <w:sz w:val="19"/>
              </w:rPr>
              <w:t>2–4 weeks</w:t>
            </w:r>
          </w:p>
        </w:tc>
      </w:tr>
      <w:tr>
        <w:tc>
          <w:tcPr>
            <w:tcW w:type="dxa" w:w="2880"/>
          </w:tcPr>
          <w:p>
            <w:r>
              <w:rPr>
                <w:sz w:val="19"/>
              </w:rPr>
              <w:t>3. Build &amp; Configure</w:t>
            </w:r>
          </w:p>
        </w:tc>
        <w:tc>
          <w:tcPr>
            <w:tcW w:type="dxa" w:w="2880"/>
          </w:tcPr>
          <w:p>
            <w:r>
              <w:rPr>
                <w:sz w:val="19"/>
              </w:rPr>
              <w:t>Universe, plan, workpaper &amp; report templates, RBAC</w:t>
            </w:r>
          </w:p>
        </w:tc>
        <w:tc>
          <w:tcPr>
            <w:tcW w:type="dxa" w:w="2880"/>
          </w:tcPr>
          <w:p>
            <w:r>
              <w:rPr>
                <w:sz w:val="19"/>
              </w:rPr>
              <w:t>3–6 weeks</w:t>
            </w:r>
          </w:p>
        </w:tc>
      </w:tr>
      <w:tr>
        <w:tc>
          <w:tcPr>
            <w:tcW w:type="dxa" w:w="2880"/>
          </w:tcPr>
          <w:p>
            <w:r>
              <w:rPr>
                <w:sz w:val="19"/>
              </w:rPr>
              <w:t>4. Data &amp; Test</w:t>
            </w:r>
          </w:p>
        </w:tc>
        <w:tc>
          <w:tcPr>
            <w:tcW w:type="dxa" w:w="2880"/>
          </w:tcPr>
          <w:p>
            <w:r>
              <w:rPr>
                <w:sz w:val="19"/>
              </w:rPr>
              <w:t>Data setup, SIT, UAT support</w:t>
            </w:r>
          </w:p>
        </w:tc>
        <w:tc>
          <w:tcPr>
            <w:tcW w:type="dxa" w:w="2880"/>
          </w:tcPr>
          <w:p>
            <w:r>
              <w:rPr>
                <w:sz w:val="19"/>
              </w:rPr>
              <w:t>2–3 weeks</w:t>
            </w:r>
          </w:p>
        </w:tc>
      </w:tr>
      <w:tr>
        <w:tc>
          <w:tcPr>
            <w:tcW w:type="dxa" w:w="2880"/>
          </w:tcPr>
          <w:p>
            <w:r>
              <w:rPr>
                <w:sz w:val="19"/>
              </w:rPr>
              <w:t>5. Deploy</w:t>
            </w:r>
          </w:p>
        </w:tc>
        <w:tc>
          <w:tcPr>
            <w:tcW w:type="dxa" w:w="2880"/>
          </w:tcPr>
          <w:p>
            <w:r>
              <w:rPr>
                <w:sz w:val="19"/>
              </w:rPr>
              <w:t>Production cut-over, go-live</w:t>
            </w:r>
          </w:p>
        </w:tc>
        <w:tc>
          <w:tcPr>
            <w:tcW w:type="dxa" w:w="2880"/>
          </w:tcPr>
          <w:p>
            <w:r>
              <w:rPr>
                <w:sz w:val="19"/>
              </w:rPr>
              <w:t>1 week</w:t>
            </w:r>
          </w:p>
        </w:tc>
      </w:tr>
      <w:tr>
        <w:tc>
          <w:tcPr>
            <w:tcW w:type="dxa" w:w="2880"/>
          </w:tcPr>
          <w:p>
            <w:r>
              <w:rPr>
                <w:sz w:val="19"/>
              </w:rPr>
              <w:t>6. Hypercare</w:t>
            </w:r>
          </w:p>
        </w:tc>
        <w:tc>
          <w:tcPr>
            <w:tcW w:type="dxa" w:w="2880"/>
          </w:tcPr>
          <w:p>
            <w:r>
              <w:rPr>
                <w:sz w:val="19"/>
              </w:rPr>
              <w:t>Post-go-live stabilisation support</w:t>
            </w:r>
          </w:p>
        </w:tc>
        <w:tc>
          <w:tcPr>
            <w:tcW w:type="dxa" w:w="2880"/>
          </w:tcPr>
          <w:p>
            <w:r>
              <w:rPr>
                <w:sz w:val="19"/>
              </w:rPr>
              <w:t>2–4 weeks</w:t>
            </w:r>
          </w:p>
        </w:tc>
      </w:tr>
    </w:tbl>
    <w:p>
      <w:pPr>
        <w:pBdr>
          <w:bottom w:val="single" w:sz="6" w:space="2" w:color="2E86C1"/>
        </w:pBdr>
      </w:pPr>
      <w:r>
        <w:rPr>
          <w:b/>
          <w:color w:val="1F3A5F"/>
          <w:sz w:val="28"/>
        </w:rPr>
        <w:t>6.  Roles &amp; Responsibilities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Pr>
                <w:b/>
                <w:color w:val="FFFFFF"/>
                <w:sz w:val="20"/>
              </w:rPr>
              <w:t>Role</w:t>
            </w:r>
          </w:p>
        </w:tc>
        <w:tc>
          <w:tcPr>
            <w:tcW w:type="dxa" w:w="2880"/>
            <w:shd w:val="clear" w:color="auto" w:fill="1F3A5F"/>
          </w:tcPr>
          <w:p>
            <w:r>
              <w:rPr>
                <w:b/>
                <w:color w:val="FFFFFF"/>
                <w:sz w:val="20"/>
              </w:rPr>
              <w:t>Party</w:t>
            </w:r>
          </w:p>
        </w:tc>
        <w:tc>
          <w:tcPr>
            <w:tcW w:type="dxa" w:w="2880"/>
            <w:shd w:val="clear" w:color="auto" w:fill="1F3A5F"/>
          </w:tcPr>
          <w:p>
            <w:r>
              <w:rPr>
                <w:b/>
                <w:color w:val="FFFFFF"/>
                <w:sz w:val="20"/>
              </w:rPr>
              <w:t>Responsibility</w:t>
            </w:r>
          </w:p>
        </w:tc>
      </w:tr>
      <w:tr>
        <w:tc>
          <w:tcPr>
            <w:tcW w:type="dxa" w:w="2880"/>
          </w:tcPr>
          <w:p>
            <w:r>
              <w:rPr>
                <w:sz w:val="19"/>
              </w:rPr>
              <w:t>Project Sponsor</w:t>
            </w:r>
          </w:p>
        </w:tc>
        <w:tc>
          <w:tcPr>
            <w:tcW w:type="dxa" w:w="2880"/>
          </w:tcPr>
          <w:p>
            <w:r>
              <w:rPr>
                <w:sz w:val="19"/>
              </w:rPr>
              <w:t>Client</w:t>
            </w:r>
          </w:p>
        </w:tc>
        <w:tc>
          <w:tcPr>
            <w:tcW w:type="dxa" w:w="2880"/>
          </w:tcPr>
          <w:p>
            <w:r>
              <w:rPr>
                <w:sz w:val="19"/>
              </w:rPr>
              <w:t>Executive ownership, funding, escalation</w:t>
            </w:r>
          </w:p>
        </w:tc>
      </w:tr>
      <w:tr>
        <w:tc>
          <w:tcPr>
            <w:tcW w:type="dxa" w:w="2880"/>
          </w:tcPr>
          <w:p>
            <w:r>
              <w:rPr>
                <w:sz w:val="19"/>
              </w:rPr>
              <w:t>Project Manager</w:t>
            </w:r>
          </w:p>
        </w:tc>
        <w:tc>
          <w:tcPr>
            <w:tcW w:type="dxa" w:w="2880"/>
          </w:tcPr>
          <w:p>
            <w:r>
              <w:rPr>
                <w:sz w:val="19"/>
              </w:rPr>
              <w:t>Both</w:t>
            </w:r>
          </w:p>
        </w:tc>
        <w:tc>
          <w:tcPr>
            <w:tcW w:type="dxa" w:w="2880"/>
          </w:tcPr>
          <w:p>
            <w:r>
              <w:rPr>
                <w:sz w:val="19"/>
              </w:rPr>
              <w:t>Day-to-day delivery, plan, RAID management</w:t>
            </w:r>
          </w:p>
        </w:tc>
      </w:tr>
      <w:tr>
        <w:tc>
          <w:tcPr>
            <w:tcW w:type="dxa" w:w="2880"/>
          </w:tcPr>
          <w:p>
            <w:r>
              <w:rPr>
                <w:sz w:val="19"/>
              </w:rPr>
              <w:t>Solution / Implementation Lead</w:t>
            </w:r>
          </w:p>
        </w:tc>
        <w:tc>
          <w:tcPr>
            <w:tcW w:type="dxa" w:w="2880"/>
          </w:tcPr>
          <w:p>
            <w:r>
              <w:rPr>
                <w:sz w:val="19"/>
              </w:rPr>
              <w:t>Vendor</w:t>
            </w:r>
          </w:p>
        </w:tc>
        <w:tc>
          <w:tcPr>
            <w:tcW w:type="dxa" w:w="2880"/>
          </w:tcPr>
          <w:p>
            <w:r>
              <w:rPr>
                <w:sz w:val="19"/>
              </w:rPr>
              <w:t>Solution design, configuration, build</w:t>
            </w:r>
          </w:p>
        </w:tc>
      </w:tr>
      <w:tr>
        <w:tc>
          <w:tcPr>
            <w:tcW w:type="dxa" w:w="2880"/>
          </w:tcPr>
          <w:p>
            <w:r>
              <w:rPr>
                <w:sz w:val="19"/>
              </w:rPr>
              <w:t>Business SMEs</w:t>
            </w:r>
          </w:p>
        </w:tc>
        <w:tc>
          <w:tcPr>
            <w:tcW w:type="dxa" w:w="2880"/>
          </w:tcPr>
          <w:p>
            <w:r>
              <w:rPr>
                <w:sz w:val="19"/>
              </w:rPr>
              <w:t>Client</w:t>
            </w:r>
          </w:p>
        </w:tc>
        <w:tc>
          <w:tcPr>
            <w:tcW w:type="dxa" w:w="2880"/>
          </w:tcPr>
          <w:p>
            <w:r>
              <w:rPr>
                <w:sz w:val="19"/>
              </w:rPr>
              <w:t>Requirements, validation, UAT sign-off</w:t>
            </w:r>
          </w:p>
        </w:tc>
      </w:tr>
      <w:tr>
        <w:tc>
          <w:tcPr>
            <w:tcW w:type="dxa" w:w="2880"/>
          </w:tcPr>
          <w:p>
            <w:r>
              <w:rPr>
                <w:sz w:val="19"/>
              </w:rPr>
              <w:t>Data Owner</w:t>
            </w:r>
          </w:p>
        </w:tc>
        <w:tc>
          <w:tcPr>
            <w:tcW w:type="dxa" w:w="2880"/>
          </w:tcPr>
          <w:p>
            <w:r>
              <w:rPr>
                <w:sz w:val="19"/>
              </w:rPr>
              <w:t>Client</w:t>
            </w:r>
          </w:p>
        </w:tc>
        <w:tc>
          <w:tcPr>
            <w:tcW w:type="dxa" w:w="2880"/>
          </w:tcPr>
          <w:p>
            <w:r>
              <w:rPr>
                <w:sz w:val="19"/>
              </w:rPr>
              <w:t>Source data quality, migration approval</w:t>
            </w:r>
          </w:p>
        </w:tc>
      </w:tr>
      <w:tr>
        <w:tc>
          <w:tcPr>
            <w:tcW w:type="dxa" w:w="2880"/>
          </w:tcPr>
          <w:p>
            <w:r>
              <w:rPr>
                <w:sz w:val="19"/>
              </w:rPr>
              <w:t>Technical / Infra Lead</w:t>
            </w:r>
          </w:p>
        </w:tc>
        <w:tc>
          <w:tcPr>
            <w:tcW w:type="dxa" w:w="2880"/>
          </w:tcPr>
          <w:p>
            <w:r>
              <w:rPr>
                <w:sz w:val="19"/>
              </w:rPr>
              <w:t>Both</w:t>
            </w:r>
          </w:p>
        </w:tc>
        <w:tc>
          <w:tcPr>
            <w:tcW w:type="dxa" w:w="2880"/>
          </w:tcPr>
          <w:p>
            <w:r>
              <w:rPr>
                <w:sz w:val="19"/>
              </w:rPr>
              <w:t>Environments, integrations, security</w:t>
            </w:r>
          </w:p>
        </w:tc>
      </w:tr>
      <w:tr>
        <w:tc>
          <w:tcPr>
            <w:tcW w:type="dxa" w:w="2880"/>
          </w:tcPr>
          <w:p>
            <w:r>
              <w:rPr>
                <w:sz w:val="19"/>
              </w:rPr>
              <w:t>Training Lead</w:t>
            </w:r>
          </w:p>
        </w:tc>
        <w:tc>
          <w:tcPr>
            <w:tcW w:type="dxa" w:w="2880"/>
          </w:tcPr>
          <w:p>
            <w:r>
              <w:rPr>
                <w:sz w:val="19"/>
              </w:rPr>
              <w:t>Vendor</w:t>
            </w:r>
          </w:p>
        </w:tc>
        <w:tc>
          <w:tcPr>
            <w:tcW w:type="dxa" w:w="2880"/>
          </w:tcPr>
          <w:p>
            <w:r>
              <w:rPr>
                <w:sz w:val="19"/>
              </w:rPr>
              <w:t>End-user and administrator enablement</w:t>
            </w:r>
          </w:p>
        </w:tc>
      </w:tr>
    </w:tbl>
    <w:p>
      <w:pPr>
        <w:pBdr>
          <w:bottom w:val="single" w:sz="6" w:space="2" w:color="2E86C1"/>
        </w:pBdr>
      </w:pPr>
      <w:r>
        <w:rPr>
          <w:b/>
          <w:color w:val="1F3A5F"/>
          <w:sz w:val="28"/>
        </w:rPr>
        <w:t>7.  Acceptance Criteria</w:t>
      </w:r>
    </w:p>
    <w:p>
      <w:r>
        <w:t>A deliverable or milestone is deemed accepted when:</w:t>
      </w:r>
    </w:p>
    <w:p>
      <w:pPr>
        <w:pStyle w:val="ListBullet"/>
      </w:pPr>
      <w:r>
        <w:t>It meets the agreed functional and non-functional requirements baseline.</w:t>
      </w:r>
    </w:p>
    <w:p>
      <w:pPr>
        <w:pStyle w:val="ListBullet"/>
      </w:pPr>
      <w:r>
        <w:t>It successfully passes the agreed UAT test scripts with no open Severity-1 or Severity-2 defects.</w:t>
      </w:r>
    </w:p>
    <w:p>
      <w:pPr>
        <w:pStyle w:val="ListBullet"/>
      </w:pPr>
      <w:r>
        <w:t>Supporting documentation (configuration, user guides, admin guides) has been handed over.</w:t>
      </w:r>
    </w:p>
    <w:p>
      <w:pPr>
        <w:pStyle w:val="ListBullet"/>
      </w:pPr>
      <w:r>
        <w:t>Written sign-off is provided by the Client SPOC within the agreed review window (deemed accepted if no response within that window).</w:t>
      </w:r>
    </w:p>
    <w:p>
      <w:pPr>
        <w:pBdr>
          <w:bottom w:val="single" w:sz="6" w:space="2" w:color="2E86C1"/>
        </w:pBdr>
      </w:pPr>
      <w:r>
        <w:rPr>
          <w:b/>
          <w:color w:val="1F3A5F"/>
          <w:sz w:val="28"/>
        </w:rPr>
        <w:t>8.  Assumptions &amp; Dependencies</w:t>
      </w:r>
    </w:p>
    <w:p>
      <w:pPr>
        <w:pStyle w:val="ListBullet"/>
      </w:pPr>
      <w:r>
        <w:t>The Client will nominate a Project Sponsor and a Single Point of Contact (SPOC) empowered to make decisions.</w:t>
      </w:r>
    </w:p>
    <w:p>
      <w:pPr>
        <w:pStyle w:val="ListBullet"/>
      </w:pPr>
      <w:r>
        <w:t>The Client will provide timely access to subject-matter experts, source data, and required system credentials.</w:t>
      </w:r>
    </w:p>
    <w:p>
      <w:pPr>
        <w:pStyle w:val="ListBullet"/>
      </w:pPr>
      <w:r>
        <w:t>Requirements signed off at the end of the design phase form the baseline; changes are handled via the Change Control process.</w:t>
      </w:r>
    </w:p>
    <w:p>
      <w:pPr>
        <w:pStyle w:val="ListBullet"/>
      </w:pPr>
      <w:r>
        <w:t>Business and reference data will be provided in an agreed, structured electronic format.</w:t>
      </w:r>
    </w:p>
    <w:p>
      <w:pPr>
        <w:pStyle w:val="ListBullet"/>
      </w:pPr>
      <w:r>
        <w:t>Third-party software, infrastructure or API licences required for integrations are procured by the Client unless stated otherwise.</w:t>
      </w:r>
    </w:p>
    <w:p>
      <w:pPr>
        <w:pStyle w:val="ListBullet"/>
      </w:pPr>
      <w:r>
        <w:t>User Acceptance Testing will be completed by the Client within the agreed test window.</w:t>
      </w:r>
    </w:p>
    <w:p>
      <w:pPr>
        <w:pStyle w:val="ListBullet"/>
      </w:pPr>
      <w:r>
        <w:t>Work is performed remotely unless on-site days are explicitly agreed and costed.</w:t>
      </w:r>
    </w:p>
    <w:p>
      <w:pPr>
        <w:pStyle w:val="ListBullet"/>
      </w:pPr>
      <w:r>
        <w:t>The Client's audit methodology and rating scales are provided during the Design phase.</w:t>
      </w:r>
    </w:p>
    <w:p>
      <w:pPr>
        <w:pStyle w:val="ListBullet"/>
      </w:pPr>
      <w:r>
        <w:t>Working-paper and report templates are agreed and frozen before configuration.</w:t>
      </w:r>
    </w:p>
    <w:p>
      <w:pPr>
        <w:pBdr>
          <w:bottom w:val="single" w:sz="6" w:space="2" w:color="2E86C1"/>
        </w:pBdr>
      </w:pPr>
      <w:r>
        <w:rPr>
          <w:b/>
          <w:color w:val="1F3A5F"/>
          <w:sz w:val="28"/>
        </w:rPr>
        <w:t>9.  Out of Scope</w:t>
      </w:r>
    </w:p>
    <w:p>
      <w:r>
        <w:t>Unless explicitly agreed in writing through Change Control, the following are excluded from this SOW:</w:t>
      </w:r>
    </w:p>
    <w:p>
      <w:pPr>
        <w:pStyle w:val="ListBullet"/>
      </w:pPr>
      <w:r>
        <w:t>Performing actual internal audit engagements on behalf of the Client.</w:t>
      </w:r>
    </w:p>
    <w:p>
      <w:pPr>
        <w:pStyle w:val="ListBullet"/>
      </w:pPr>
      <w:r>
        <w:t>Bespoke module development beyond configuration of the standard platform.</w:t>
      </w:r>
    </w:p>
    <w:p>
      <w:pPr>
        <w:pStyle w:val="ListBullet"/>
      </w:pPr>
      <w:r>
        <w:t>Custom integrations not identified and agreed during the Design phase.</w:t>
      </w:r>
    </w:p>
    <w:p>
      <w:pPr>
        <w:pStyle w:val="ListBullet"/>
      </w:pPr>
      <w:r>
        <w:t>Authoring of the Client's audit programmes or finding content.</w:t>
      </w:r>
    </w:p>
    <w:p>
      <w:pPr>
        <w:pStyle w:val="ListBullet"/>
      </w:pPr>
      <w:r>
        <w:t>External audit, certification or independent assurance services.</w:t>
      </w:r>
    </w:p>
    <w:p>
      <w:pPr>
        <w:pStyle w:val="ListBullet"/>
      </w:pPr>
      <w:r>
        <w:t>Ongoing managed services beyond the hypercare period (available separately).</w:t>
      </w:r>
    </w:p>
    <w:p>
      <w:pPr>
        <w:pBdr>
          <w:bottom w:val="single" w:sz="6" w:space="2" w:color="2E86C1"/>
        </w:pBdr>
      </w:pPr>
      <w:r>
        <w:rPr>
          <w:b/>
          <w:color w:val="1F3A5F"/>
          <w:sz w:val="28"/>
        </w:rPr>
        <w:t>10.  Project Governance &amp; Change Control</w:t>
      </w:r>
    </w:p>
    <w:p>
      <w:r>
        <w:rPr>
          <w:b/>
          <w:color w:val="2E86C1"/>
          <w:sz w:val="23"/>
        </w:rPr>
        <w:t>Governance</w:t>
      </w:r>
    </w:p>
    <w:p>
      <w:pPr>
        <w:pStyle w:val="ListBullet"/>
      </w:pPr>
      <w:r>
        <w:t>Weekly status reporting covering progress, risks, issues and decisions (RAID log).</w:t>
      </w:r>
    </w:p>
    <w:p>
      <w:pPr>
        <w:pStyle w:val="ListBullet"/>
      </w:pPr>
      <w:r>
        <w:t>Steering Committee checkpoints at the end of each major phase.</w:t>
      </w:r>
    </w:p>
    <w:p>
      <w:pPr>
        <w:pStyle w:val="ListBullet"/>
      </w:pPr>
      <w:r>
        <w:t>Escalation path defined between the Vendor and Client project managers.</w:t>
      </w:r>
    </w:p>
    <w:p>
      <w:r>
        <w:rPr>
          <w:b/>
          <w:color w:val="2E86C1"/>
          <w:sz w:val="23"/>
        </w:rPr>
        <w:t>Change Control</w:t>
      </w:r>
    </w:p>
    <w:p>
      <w:r>
        <w:t>Any change to scope, timeline or deliverables will be documented in a Change Request, assessed for impact on effort, cost and schedule, and implemented only after written approval by both parties.</w:t>
      </w:r>
    </w:p>
    <w:p>
      <w:pPr>
        <w:pBdr>
          <w:bottom w:val="single" w:sz="6" w:space="2" w:color="2E86C1"/>
        </w:pBdr>
      </w:pPr>
      <w:r>
        <w:rPr>
          <w:b/>
          <w:color w:val="1F3A5F"/>
          <w:sz w:val="28"/>
        </w:rPr>
        <w:t>11.  Commercials &amp; Payment Schedule</w:t>
      </w:r>
    </w:p>
    <w:p>
      <w:r>
        <w:t>The commercial model below is indicative and to be finalised during contracting. All amounts are exclusive of applicable taxes, duties and third-party licensing costs unless explicitly stated.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Pr>
                <w:b/>
                <w:color w:val="FFFFFF"/>
                <w:sz w:val="20"/>
              </w:rPr>
              <w:t>Milestone / Component</w:t>
            </w:r>
          </w:p>
        </w:tc>
        <w:tc>
          <w:tcPr>
            <w:tcW w:type="dxa" w:w="2880"/>
            <w:shd w:val="clear" w:color="auto" w:fill="1F3A5F"/>
          </w:tcPr>
          <w:p>
            <w:r>
              <w:rPr>
                <w:b/>
                <w:color w:val="FFFFFF"/>
                <w:sz w:val="20"/>
              </w:rPr>
              <w:t>Description</w:t>
            </w:r>
          </w:p>
        </w:tc>
        <w:tc>
          <w:tcPr>
            <w:tcW w:type="dxa" w:w="2880"/>
            <w:shd w:val="clear" w:color="auto" w:fill="1F3A5F"/>
          </w:tcPr>
          <w:p>
            <w:r>
              <w:rPr>
                <w:b/>
                <w:color w:val="FFFFFF"/>
                <w:sz w:val="20"/>
              </w:rPr>
              <w:t>Payment %</w:t>
            </w:r>
          </w:p>
        </w:tc>
      </w:tr>
      <w:tr>
        <w:tc>
          <w:tcPr>
            <w:tcW w:type="dxa" w:w="2880"/>
          </w:tcPr>
          <w:p>
            <w:r>
              <w:rPr>
                <w:sz w:val="19"/>
              </w:rPr>
              <w:t>Project Initiation</w:t>
            </w:r>
          </w:p>
        </w:tc>
        <w:tc>
          <w:tcPr>
            <w:tcW w:type="dxa" w:w="2880"/>
          </w:tcPr>
          <w:p>
            <w:r>
              <w:rPr>
                <w:sz w:val="19"/>
              </w:rPr>
              <w:t>Mobilisation, kick-off, environment provisioning</w:t>
            </w:r>
          </w:p>
        </w:tc>
        <w:tc>
          <w:tcPr>
            <w:tcW w:type="dxa" w:w="2880"/>
          </w:tcPr>
          <w:p>
            <w:r>
              <w:rPr>
                <w:sz w:val="19"/>
              </w:rPr>
              <w:t>20%</w:t>
            </w:r>
          </w:p>
        </w:tc>
      </w:tr>
      <w:tr>
        <w:tc>
          <w:tcPr>
            <w:tcW w:type="dxa" w:w="2880"/>
          </w:tcPr>
          <w:p>
            <w:r>
              <w:rPr>
                <w:sz w:val="19"/>
              </w:rPr>
              <w:t>Configuration &amp; Build</w:t>
            </w:r>
          </w:p>
        </w:tc>
        <w:tc>
          <w:tcPr>
            <w:tcW w:type="dxa" w:w="2880"/>
          </w:tcPr>
          <w:p>
            <w:r>
              <w:rPr>
                <w:sz w:val="19"/>
              </w:rPr>
              <w:t>Module configuration, data model, RBAC setup</w:t>
            </w:r>
          </w:p>
        </w:tc>
        <w:tc>
          <w:tcPr>
            <w:tcW w:type="dxa" w:w="2880"/>
          </w:tcPr>
          <w:p>
            <w:r>
              <w:rPr>
                <w:sz w:val="19"/>
              </w:rPr>
              <w:t>30%</w:t>
            </w:r>
          </w:p>
        </w:tc>
      </w:tr>
      <w:tr>
        <w:tc>
          <w:tcPr>
            <w:tcW w:type="dxa" w:w="2880"/>
          </w:tcPr>
          <w:p>
            <w:r>
              <w:rPr>
                <w:sz w:val="19"/>
              </w:rPr>
              <w:t>Data Migration &amp; UAT</w:t>
            </w:r>
          </w:p>
        </w:tc>
        <w:tc>
          <w:tcPr>
            <w:tcW w:type="dxa" w:w="2880"/>
          </w:tcPr>
          <w:p>
            <w:r>
              <w:rPr>
                <w:sz w:val="19"/>
              </w:rPr>
              <w:t>Migration, integration, User Acceptance Testing</w:t>
            </w:r>
          </w:p>
        </w:tc>
        <w:tc>
          <w:tcPr>
            <w:tcW w:type="dxa" w:w="2880"/>
          </w:tcPr>
          <w:p>
            <w:r>
              <w:rPr>
                <w:sz w:val="19"/>
              </w:rPr>
              <w:t>25%</w:t>
            </w:r>
          </w:p>
        </w:tc>
      </w:tr>
      <w:tr>
        <w:tc>
          <w:tcPr>
            <w:tcW w:type="dxa" w:w="2880"/>
          </w:tcPr>
          <w:p>
            <w:r>
              <w:rPr>
                <w:sz w:val="19"/>
              </w:rPr>
              <w:t>Go-Live</w:t>
            </w:r>
          </w:p>
        </w:tc>
        <w:tc>
          <w:tcPr>
            <w:tcW w:type="dxa" w:w="2880"/>
          </w:tcPr>
          <w:p>
            <w:r>
              <w:rPr>
                <w:sz w:val="19"/>
              </w:rPr>
              <w:t>Production cut-over and hypercare commencement</w:t>
            </w:r>
          </w:p>
        </w:tc>
        <w:tc>
          <w:tcPr>
            <w:tcW w:type="dxa" w:w="2880"/>
          </w:tcPr>
          <w:p>
            <w:r>
              <w:rPr>
                <w:sz w:val="19"/>
              </w:rPr>
              <w:t>15%</w:t>
            </w:r>
          </w:p>
        </w:tc>
      </w:tr>
      <w:tr>
        <w:tc>
          <w:tcPr>
            <w:tcW w:type="dxa" w:w="2880"/>
          </w:tcPr>
          <w:p>
            <w:r>
              <w:rPr>
                <w:sz w:val="19"/>
              </w:rPr>
              <w:t>Closure &amp; Sign-off</w:t>
            </w:r>
          </w:p>
        </w:tc>
        <w:tc>
          <w:tcPr>
            <w:tcW w:type="dxa" w:w="2880"/>
          </w:tcPr>
          <w:p>
            <w:r>
              <w:rPr>
                <w:sz w:val="19"/>
              </w:rPr>
              <w:t>Acceptance, handover, documentation</w:t>
            </w:r>
          </w:p>
        </w:tc>
        <w:tc>
          <w:tcPr>
            <w:tcW w:type="dxa" w:w="2880"/>
          </w:tcPr>
          <w:p>
            <w:r>
              <w:rPr>
                <w:sz w:val="19"/>
              </w:rPr>
              <w:t>10%</w:t>
            </w:r>
          </w:p>
        </w:tc>
      </w:tr>
    </w:tbl>
    <w:p>
      <w:r>
        <w:t>Recurring subscription / SaaS licensing, annual support &amp; maintenance (AMC), and optional managed services are quoted separately in the commercial proposal.</w:t>
      </w:r>
    </w:p>
    <w:p>
      <w:pPr>
        <w:pBdr>
          <w:bottom w:val="single" w:sz="6" w:space="2" w:color="2E86C1"/>
        </w:pBdr>
      </w:pPr>
      <w:r>
        <w:rPr>
          <w:b/>
          <w:color w:val="1F3A5F"/>
          <w:sz w:val="28"/>
        </w:rPr>
        <w:t>12.  Support &amp; Maintenance</w:t>
      </w:r>
    </w:p>
    <w:p>
      <w:r>
        <w:t>Following hypercare, ongoing support is available under a separate Annual Maintenance Contract (AMC) covering platform updates, defect resolution, and service-desk support under agreed SLAs. Tiered support options can be tailored to the Client's needs.</w:t>
      </w:r>
    </w:p>
    <w:p>
      <w:pPr>
        <w:pBdr>
          <w:bottom w:val="single" w:sz="6" w:space="2" w:color="2E86C1"/>
        </w:pBdr>
      </w:pPr>
      <w:r>
        <w:rPr>
          <w:b/>
          <w:color w:val="1F3A5F"/>
          <w:sz w:val="28"/>
        </w:rPr>
        <w:t>13.  Acceptance &amp; Authorisation</w:t>
      </w:r>
    </w:p>
    <w:p>
      <w:r>
        <w:t>By signing below, the parties acknowledge that they have read, understood and agreed to the terms, scope and deliverables described in this Statement of Work. This SOW becomes effective on the latest signature date below and is governed by the Master Services Agreement (or equivalent) executed between the parties.</w:t>
      </w:r>
    </w:p>
    <w:tbl>
      <w:tblPr>
        <w:tblStyle w:val="TableGrid"/>
        <w:tblW w:type="auto" w:w="0"/>
        <w:tblLook w:firstColumn="1" w:firstRow="1" w:lastColumn="0" w:lastRow="0" w:noHBand="0" w:noVBand="1" w:val="04A0"/>
      </w:tblPr>
      <w:tblGrid>
        <w:gridCol w:w="4320"/>
        <w:gridCol w:w="4320"/>
      </w:tblGrid>
      <w:tr>
        <w:tc>
          <w:tcPr>
            <w:tcW w:type="dxa" w:w="4320"/>
            <w:shd w:val="clear" w:color="auto" w:fill="EAF1F8"/>
          </w:tcPr>
          <w:p>
            <w:r>
              <w:rPr>
                <w:b/>
                <w:color w:val="1F3A5F"/>
                <w:sz w:val="20"/>
              </w:rPr>
              <w:t>For and on behalf of Glimmora International (Vendor)</w:t>
            </w:r>
          </w:p>
        </w:tc>
        <w:tc>
          <w:tcPr>
            <w:tcW w:type="dxa" w:w="4320"/>
            <w:shd w:val="clear" w:color="auto" w:fill="EAF1F8"/>
          </w:tcPr>
          <w:p>
            <w:r>
              <w:rPr>
                <w:b/>
                <w:color w:val="1F3A5F"/>
                <w:sz w:val="20"/>
              </w:rPr>
              <w:t>For and on behalf of the Client</w:t>
            </w:r>
          </w:p>
        </w:tc>
      </w:tr>
      <w:tr>
        <w:tc>
          <w:tcPr>
            <w:tcW w:type="dxa" w:w="4320"/>
          </w:tcPr>
          <w:p>
            <w:r>
              <w:rPr>
                <w:sz w:val="20"/>
              </w:rPr>
              <w:br/>
              <w:t>Name:</w:t>
            </w:r>
          </w:p>
        </w:tc>
        <w:tc>
          <w:tcPr>
            <w:tcW w:type="dxa" w:w="4320"/>
          </w:tcPr>
          <w:p>
            <w:r>
              <w:rPr>
                <w:sz w:val="20"/>
              </w:rPr>
              <w:br/>
              <w:t>Name:</w:t>
            </w:r>
          </w:p>
        </w:tc>
      </w:tr>
      <w:tr>
        <w:tc>
          <w:tcPr>
            <w:tcW w:type="dxa" w:w="4320"/>
          </w:tcPr>
          <w:p>
            <w:r>
              <w:rPr>
                <w:sz w:val="20"/>
              </w:rPr>
              <w:br/>
              <w:t>Title:</w:t>
            </w:r>
          </w:p>
        </w:tc>
        <w:tc>
          <w:tcPr>
            <w:tcW w:type="dxa" w:w="4320"/>
          </w:tcPr>
          <w:p>
            <w:r>
              <w:rPr>
                <w:sz w:val="20"/>
              </w:rPr>
              <w:br/>
              <w:t>Title:</w:t>
            </w:r>
          </w:p>
        </w:tc>
      </w:tr>
      <w:tr>
        <w:tc>
          <w:tcPr>
            <w:tcW w:type="dxa" w:w="4320"/>
          </w:tcPr>
          <w:p>
            <w:r>
              <w:rPr>
                <w:sz w:val="20"/>
              </w:rPr>
              <w:br/>
              <w:t>Signature:</w:t>
            </w:r>
          </w:p>
        </w:tc>
        <w:tc>
          <w:tcPr>
            <w:tcW w:type="dxa" w:w="4320"/>
          </w:tcPr>
          <w:p>
            <w:r>
              <w:rPr>
                <w:sz w:val="20"/>
              </w:rPr>
              <w:br/>
              <w:t>Signature:</w:t>
            </w:r>
          </w:p>
        </w:tc>
      </w:tr>
      <w:tr>
        <w:tc>
          <w:tcPr>
            <w:tcW w:type="dxa" w:w="4320"/>
          </w:tcPr>
          <w:p>
            <w:r>
              <w:rPr>
                <w:sz w:val="20"/>
              </w:rPr>
              <w:br/>
              <w:t>Date:</w:t>
            </w:r>
          </w:p>
        </w:tc>
        <w:tc>
          <w:tcPr>
            <w:tcW w:type="dxa" w:w="4320"/>
          </w:tcPr>
          <w:p>
            <w:r>
              <w:rPr>
                <w:sz w:val="20"/>
              </w:rPr>
              <w:br/>
              <w:t>Date:</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Glimmora International  |  info@glimmora.ai  |  Statement of Work — Internal Audit Platform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