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2"/>
        </w:rPr>
        <w:t>Glimmora International</w:t>
      </w:r>
    </w:p>
    <w:p>
      <w:pPr>
        <w:jc w:val="center"/>
      </w:pPr>
      <w:r>
        <w:rPr>
          <w:color w:val="2E86C1"/>
          <w:sz w:val="22"/>
        </w:rPr>
        <w:t>info@glimmora.ai</w:t>
      </w:r>
    </w:p>
    <w:p/>
    <w:p/>
    <w:p>
      <w:pPr>
        <w:jc w:val="center"/>
      </w:pPr>
      <w:r>
        <w:rPr>
          <w:b/>
          <w:color w:val="222222"/>
          <w:sz w:val="40"/>
        </w:rPr>
        <w:t>SOLUTION DESIGN DOCUMENT</w:t>
      </w:r>
    </w:p>
    <w:p>
      <w:pPr>
        <w:jc w:val="center"/>
      </w:pPr>
      <w:r>
        <w:rPr>
          <w:b/>
          <w:color w:val="2E86C1"/>
          <w:sz w:val="32"/>
        </w:rPr>
        <w:t>Internal Audit Platform</w:t>
      </w:r>
    </w:p>
    <w:p>
      <w:pPr>
        <w:jc w:val="center"/>
      </w:pPr>
      <w:r>
        <w:rPr>
          <w:i/>
          <w:color w:val="555555"/>
          <w:sz w:val="22"/>
        </w:rPr>
        <w:t>Technical Solution Design for the Internal Audit Management solution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Document Title</w:t>
            </w:r>
          </w:p>
        </w:tc>
        <w:tc>
          <w:tcPr>
            <w:tcW w:type="dxa" w:w="5472"/>
          </w:tcPr>
          <w:p>
            <w:r>
              <w:t>Solution Design — Internal Audit Platform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Prepared By</w:t>
            </w:r>
          </w:p>
        </w:tc>
        <w:tc>
          <w:tcPr>
            <w:tcW w:type="dxa" w:w="5472"/>
          </w:tcPr>
          <w:p>
            <w:r>
              <w:t>Glimmora International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Contact</w:t>
            </w:r>
          </w:p>
        </w:tc>
        <w:tc>
          <w:tcPr>
            <w:tcW w:type="dxa" w:w="5472"/>
          </w:tcPr>
          <w:p>
            <w:r>
              <w:t>info@glimmora.ai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Document Date</w:t>
            </w:r>
          </w:p>
        </w:tc>
        <w:tc>
          <w:tcPr>
            <w:tcW w:type="dxa" w:w="5472"/>
          </w:tcPr>
          <w:p>
            <w:r>
              <w:t>01 June 2026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Version</w:t>
            </w:r>
          </w:p>
        </w:tc>
        <w:tc>
          <w:tcPr>
            <w:tcW w:type="dxa" w:w="5472"/>
          </w:tcPr>
          <w:p>
            <w:r>
              <w:t>1.0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Status</w:t>
            </w:r>
          </w:p>
        </w:tc>
        <w:tc>
          <w:tcPr>
            <w:tcW w:type="dxa" w:w="5472"/>
          </w:tcPr>
          <w:p>
            <w:r>
              <w:t>Draft for Client Review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>
              <w:rPr>
                <w:b/>
                <w:color w:val="1F3A5F"/>
              </w:rPr>
              <w:t>Classification</w:t>
            </w:r>
          </w:p>
        </w:tc>
        <w:tc>
          <w:tcPr>
            <w:tcW w:type="dxa" w:w="5472"/>
          </w:tcPr>
          <w:p>
            <w:r>
              <w:t>Confidential — Technical</w:t>
            </w:r>
          </w:p>
        </w:tc>
      </w:tr>
    </w:tbl>
    <w:p>
      <w:r>
        <w:br w:type="page"/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1.  Document Control</w:t>
      </w:r>
    </w:p>
    <w:p>
      <w:r>
        <w:rPr>
          <w:b/>
          <w:color w:val="2E86C1"/>
          <w:sz w:val="23"/>
        </w:rPr>
        <w:t>1.1 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01 June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Glimmora International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Initial draft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01 June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Glimmora International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Issued for client review</w:t>
            </w:r>
          </w:p>
        </w:tc>
      </w:tr>
    </w:tbl>
    <w:p>
      <w:r>
        <w:rPr>
          <w:b/>
          <w:color w:val="2E86C1"/>
          <w:sz w:val="23"/>
        </w:rPr>
        <w:t>1.2  Audience</w:t>
      </w:r>
    </w:p>
    <w:p>
      <w:pPr>
        <w:pStyle w:val="ListBullet"/>
      </w:pPr>
      <w:r>
        <w:t>Client solution architects, IT and security teams.</w:t>
      </w:r>
    </w:p>
    <w:p>
      <w:pPr>
        <w:pStyle w:val="ListBullet"/>
      </w:pPr>
      <w:r>
        <w:t>Project sponsors and business owners.</w:t>
      </w:r>
    </w:p>
    <w:p>
      <w:pPr>
        <w:pStyle w:val="ListBullet"/>
      </w:pPr>
      <w:r>
        <w:t>Implementation and integration teams.</w:t>
      </w:r>
    </w:p>
    <w:p>
      <w:r>
        <w:rPr>
          <w:b/>
          <w:color w:val="2E86C1"/>
          <w:sz w:val="23"/>
        </w:rPr>
        <w:t>1.3  Related Documents</w:t>
      </w:r>
    </w:p>
    <w:p>
      <w:pPr>
        <w:pStyle w:val="ListBullet"/>
      </w:pPr>
      <w:r>
        <w:t>Statement of Work (SOW) for the same platform.</w:t>
      </w:r>
    </w:p>
    <w:p>
      <w:pPr>
        <w:pStyle w:val="ListBullet"/>
      </w:pPr>
      <w:r>
        <w:t>Master Services Agreement / contract.</w:t>
      </w:r>
    </w:p>
    <w:p>
      <w:pPr>
        <w:pStyle w:val="ListBullet"/>
      </w:pPr>
      <w:r>
        <w:t>Security &amp; Encryption reference (SECURITY.md).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2.  Solution Overview</w:t>
      </w:r>
    </w:p>
    <w:p>
      <w:r>
        <w:t>The Internal Audit Platform digitises the full audit lifecycle — audit universe, risk-based planning, fieldwork, findings, CAPA and reporting — in a single multi-tenant application with role-based segregation across audit roles, encryption, and a complete audit trail.</w:t>
      </w:r>
    </w:p>
    <w:p>
      <w:r>
        <w:rPr>
          <w:b/>
          <w:color w:val="2E86C1"/>
          <w:sz w:val="23"/>
        </w:rPr>
        <w:t>2.1  In-Scope Functional Modules</w:t>
      </w:r>
    </w:p>
    <w:p>
      <w:pPr>
        <w:pStyle w:val="ListBullet"/>
      </w:pPr>
      <w:r>
        <w:t>Audit Universe &amp; Risk Assessment — auditable entities, risk-based scoring, IA process setup.</w:t>
      </w:r>
    </w:p>
    <w:p>
      <w:pPr>
        <w:pStyle w:val="ListBullet"/>
      </w:pPr>
      <w:r>
        <w:t>Audit Planning — annual/periodic plan, engagement scoping, resource allocation.</w:t>
      </w:r>
    </w:p>
    <w:p>
      <w:pPr>
        <w:pStyle w:val="ListBullet"/>
      </w:pPr>
      <w:r>
        <w:t>Fieldwork &amp; Execution — working papers, evidence, test procedures, auditee collaboration.</w:t>
      </w:r>
    </w:p>
    <w:p>
      <w:pPr>
        <w:pStyle w:val="ListBullet"/>
      </w:pPr>
      <w:r>
        <w:t>Findings &amp; CAPA — findings register, corrective/preventive actions, remediation workflow, escalation.</w:t>
      </w:r>
    </w:p>
    <w:p>
      <w:pPr>
        <w:pStyle w:val="ListBullet"/>
      </w:pPr>
      <w:r>
        <w:t>Reporting — audit reports, dashboards, management &amp; committee reporting.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3.  Solution Architecture</w:t>
      </w:r>
    </w:p>
    <w:p>
      <w:r>
        <w:t>The Internal Audit Platform is delivered as a modern, cloud-native, multi-tenant web application. It follows a layered architecture separating presentation, application/API, domain services, and data persistence, with a dedicated AI services tier for assistive and translation capabilities.</w:t>
      </w:r>
    </w:p>
    <w:p>
      <w:r>
        <w:rPr>
          <w:b/>
          <w:color w:val="2E86C1"/>
          <w:sz w:val="23"/>
        </w:rPr>
        <w:t>3.1  Logical 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Presentation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Responsive, multilingual UI (RTL/LTR)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(App Router), React, Tailwind, shadcn/ui (Radix)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 / Application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REST endpoints, request handling, 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Route Handlers, Zod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AuthN / AuthZ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Authentication and RBAC enforcement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NextAuth v5 (JWT sessions), permission matrix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Domain Services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Business logic per module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TypeScript services, Prisma ORM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Persistence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Transactional store with field encryption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PostgreSQL via Prisma + AES-256-GCM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Services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Assistant + dynamic translation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backend (isolated, MongoDB store)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Scheduling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Reminders and automated jobs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Scheduled cron endpoints</w:t>
            </w:r>
          </w:p>
        </w:tc>
      </w:tr>
    </w:tbl>
    <w:p>
      <w:r>
        <w:rPr>
          <w:b/>
          <w:color w:val="2E86C1"/>
          <w:sz w:val="23"/>
        </w:rPr>
        <w:t>3.2  Architecture Diagram (logical)</w:t>
      </w:r>
    </w:p>
    <w:p>
      <w:pPr>
        <w:shd w:val="clear" w:color="auto" w:fill="F2F4F5"/>
      </w:pPr>
      <w:r>
        <w:rPr>
          <w:rFonts w:ascii="Consolas" w:hAnsi="Consolas"/>
          <w:color w:val="0B5245"/>
          <w:sz w:val="18"/>
        </w:rPr>
        <w:t xml:space="preserve">        +------------------------------------------------------+</w:t>
      </w:r>
      <w:r>
        <w:rPr>
          <w:rFonts w:ascii="Consolas" w:hAnsi="Consolas"/>
          <w:color w:val="0B5245"/>
          <w:sz w:val="18"/>
        </w:rPr>
        <w:br/>
        <w:t xml:space="preserve">        |                   Web Browser (User)                 |</w:t>
      </w:r>
      <w:r>
        <w:rPr>
          <w:rFonts w:ascii="Consolas" w:hAnsi="Consolas"/>
          <w:color w:val="0B5245"/>
          <w:sz w:val="18"/>
        </w:rPr>
        <w:br/>
        <w:t xml:space="preserve">        |   EN / AR (RTL) / LV  -  Role-aware navigation       |</w:t>
      </w:r>
      <w:r>
        <w:rPr>
          <w:rFonts w:ascii="Consolas" w:hAnsi="Consolas"/>
          <w:color w:val="0B5245"/>
          <w:sz w:val="18"/>
        </w:rPr>
        <w:br/>
        <w:t xml:space="preserve">        +-------------------------+----------------------------+</w:t>
      </w:r>
      <w:r>
        <w:rPr>
          <w:rFonts w:ascii="Consolas" w:hAnsi="Consolas"/>
          <w:color w:val="0B5245"/>
          <w:sz w:val="18"/>
        </w:rPr>
        <w:br/>
        <w:t xml:space="preserve">                                  | HTTPS / TLS 1.2+</w:t>
      </w:r>
      <w:r>
        <w:rPr>
          <w:rFonts w:ascii="Consolas" w:hAnsi="Consolas"/>
          <w:color w:val="0B5245"/>
          <w:sz w:val="18"/>
        </w:rPr>
        <w:br/>
        <w:t xml:space="preserve">        +-------------------------v----------------------------+</w:t>
      </w:r>
      <w:r>
        <w:rPr>
          <w:rFonts w:ascii="Consolas" w:hAnsi="Consolas"/>
          <w:color w:val="0B5245"/>
          <w:sz w:val="18"/>
        </w:rPr>
        <w:br/>
        <w:t xml:space="preserve">        |        Next.js App (App Router)  -  Vercel/DO        |</w:t>
      </w:r>
      <w:r>
        <w:rPr>
          <w:rFonts w:ascii="Consolas" w:hAnsi="Consolas"/>
          <w:color w:val="0B5245"/>
          <w:sz w:val="18"/>
        </w:rPr>
        <w:br/>
        <w:t xml:space="preserve">        |  Presentation  |  Route Handlers (REST)  |  NextAuth |</w:t>
      </w:r>
      <w:r>
        <w:rPr>
          <w:rFonts w:ascii="Consolas" w:hAnsi="Consolas"/>
          <w:color w:val="0B5245"/>
          <w:sz w:val="18"/>
        </w:rPr>
        <w:br/>
        <w:t xml:space="preserve">        |  RBAC guard (withAuth)  |  Zod validation           |</w:t>
      </w:r>
      <w:r>
        <w:rPr>
          <w:rFonts w:ascii="Consolas" w:hAnsi="Consolas"/>
          <w:color w:val="0B5245"/>
          <w:sz w:val="18"/>
        </w:rPr>
        <w:br/>
        <w:t xml:space="preserve">        +------+-------------------------------+---------------+</w:t>
      </w:r>
      <w:r>
        <w:rPr>
          <w:rFonts w:ascii="Consolas" w:hAnsi="Consolas"/>
          <w:color w:val="0B5245"/>
          <w:sz w:val="18"/>
        </w:rPr>
        <w:br/>
        <w:t xml:space="preserve">               | Prisma (encrypt/decrypt ext)  |  HTTPS</w:t>
      </w:r>
      <w:r>
        <w:rPr>
          <w:rFonts w:ascii="Consolas" w:hAnsi="Consolas"/>
          <w:color w:val="0B5245"/>
          <w:sz w:val="18"/>
        </w:rPr>
        <w:br/>
        <w:t xml:space="preserve">        +------v---------------+        +-------v-------------+</w:t>
      </w:r>
      <w:r>
        <w:rPr>
          <w:rFonts w:ascii="Consolas" w:hAnsi="Consolas"/>
          <w:color w:val="0B5245"/>
          <w:sz w:val="18"/>
        </w:rPr>
        <w:br/>
        <w:t xml:space="preserve">        |  PostgreSQL (multi-  |        |  Python AI Backend  |</w:t>
      </w:r>
      <w:r>
        <w:rPr>
          <w:rFonts w:ascii="Consolas" w:hAnsi="Consolas"/>
          <w:color w:val="0B5245"/>
          <w:sz w:val="18"/>
        </w:rPr>
        <w:br/>
        <w:t xml:space="preserve">        |  tenant, encrypted   |        |  (MongoDB store)    |</w:t>
      </w:r>
      <w:r>
        <w:rPr>
          <w:rFonts w:ascii="Consolas" w:hAnsi="Consolas"/>
          <w:color w:val="0B5245"/>
          <w:sz w:val="18"/>
        </w:rPr>
        <w:br/>
        <w:t xml:space="preserve">        |  fileData columns)   |        |  Assistant + i18n   |</w:t>
      </w:r>
      <w:r>
        <w:rPr>
          <w:rFonts w:ascii="Consolas" w:hAnsi="Consolas"/>
          <w:color w:val="0B5245"/>
          <w:sz w:val="18"/>
        </w:rPr>
        <w:br/>
        <w:t xml:space="preserve">        +----------------------+        +---------------------+</w:t>
      </w:r>
    </w:p>
    <w:p>
      <w:r>
        <w:rPr>
          <w:b/>
          <w:color w:val="2E86C1"/>
          <w:sz w:val="23"/>
        </w:rPr>
        <w:t>3.3  Multi-Tenancy</w:t>
      </w:r>
    </w:p>
    <w:p>
      <w:r>
        <w:t>The platform is multi-tenant: each customer account is logically isolated. All tenant-scoped records carry a customerAccountId and every query path is scoped by the authenticated user's tenant, preventing cross-tenant data access. RBAC is layered on top of tenant isolation for fine-grained authorisation.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4. 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16 (App Router)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SSR/ISR, server &amp; route handlers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End-to-end type safety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React, Tailwind CSS, shadcn/ui (Radix)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Accessible component library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NextAuth v5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JWT sessions, role expansion on session callback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Prisma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Type-safe data access, migrations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Production RDBMS (multi-tenant)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Zod + React Hook 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Schema-based form &amp; API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Python service (isolated)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Assistant + dynamic translation; MongoDB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AES-256-GCM (field-level)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Sensitive Bytes columns at 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DigitalOcean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 platform + managed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Scheduling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Cron endpoints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Daily due-date reminders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5.  Module Design Detail</w:t>
      </w:r>
    </w:p>
    <w:p>
      <w:r>
        <w:rPr>
          <w:b/>
          <w:color w:val="2E86C1"/>
          <w:sz w:val="23"/>
        </w:rPr>
        <w:t>5.1  Audit Universe &amp;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Auditable Entity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Name, process, unit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Universe catalogue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Risk Score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Risk factors, rating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Drives plan prioritisation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IA Process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Audit function structure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Organization setup</w:t>
            </w:r>
          </w:p>
        </w:tc>
      </w:tr>
    </w:tbl>
    <w:p>
      <w:r>
        <w:rPr>
          <w:b/>
          <w:color w:val="2E86C1"/>
          <w:sz w:val="23"/>
        </w:rPr>
        <w:t>5.2  Audit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Audit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Period, entities, calendar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Risk-based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Objective, scope, criteria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 audit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Resource Allocation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Auditor assignment, schedule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Capacity-aware</w:t>
            </w:r>
          </w:p>
        </w:tc>
      </w:tr>
    </w:tbl>
    <w:p>
      <w:r>
        <w:rPr>
          <w:b/>
          <w:color w:val="2E86C1"/>
          <w:sz w:val="23"/>
        </w:rPr>
        <w:t>5.3  Fieldwork &amp;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Working Paper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Procedure, result, conclusion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Review/sign-off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File (encrypted), linkage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Bytes encrypted at 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 Procedure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Steps, sample, outcome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Standardised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Auditee Request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Information request, response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Collaboration</w:t>
            </w:r>
          </w:p>
        </w:tc>
      </w:tr>
    </w:tbl>
    <w:p>
      <w:r>
        <w:rPr>
          <w:b/>
          <w:color w:val="2E86C1"/>
          <w:sz w:val="23"/>
        </w:rPr>
        <w:t>5.4  Findings &amp; CAPA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Observation, rating, root cause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Findings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Action, owner, due date, 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Corrective/preventive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Remediation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Progress, verification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Tracked to closure</w:t>
            </w:r>
          </w:p>
        </w:tc>
      </w:tr>
    </w:tbl>
    <w:p>
      <w:r>
        <w:rPr>
          <w:b/>
          <w:color w:val="2E86C1"/>
          <w:sz w:val="23"/>
        </w:rPr>
        <w:t>5.5 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Audit Report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Sections, findings, rating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Engagement output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Plan status, findings, CAPA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Real-time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6.  Data Model</w:t>
      </w:r>
    </w:p>
    <w:p>
      <w:r>
        <w:t>The Internal Audit Platform data model is implemented in Prisma and persisted to PostgreSQL. All tenant-scoped entities reference a customer account for isolation, and sensitive binary content is stored in encrypted columns. The core entities are summarised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Representative Entities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User, Role (Audit Head/Manager/Auditor/Auditee), Permission, CustomerAccount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Universe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AuditableEntity, RiskScore, IAProcess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AuditPlan, Engagement, ResourceAllocation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Fieldwork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WorkingPaper, Evidence, TestProcedure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Findings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Finding, CAPA, Remediation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Reporting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AuditReport, Dashboard view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Translation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DynamicTranslation (per record/field/locale)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7.  Audit Role Model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Access Summary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Audit Head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Full Internal Audit access; plan approval, all engagements.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Audit Manager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Manage engagements, review working papers, findings.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Execute fieldwork, raise findings, draft reports.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Auditee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Respond to requests, view/track assigned findings &amp; CAPA.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Reviewer / Contributor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Cross-module review/contribution as scoped.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8.  Security Design</w:t>
      </w:r>
    </w:p>
    <w:p>
      <w:r>
        <w:rPr>
          <w:b/>
          <w:color w:val="2E86C1"/>
          <w:sz w:val="23"/>
        </w:rPr>
        <w:t>8.1  Authentication &amp; Authorization</w:t>
      </w:r>
    </w:p>
    <w:p>
      <w:pPr>
        <w:pStyle w:val="ListBullet"/>
      </w:pPr>
      <w:r>
        <w:t>NextAuth v5 with JWT sessions; credentials verified server-side.</w:t>
      </w:r>
    </w:p>
    <w:p>
      <w:pPr>
        <w:pStyle w:val="ListBullet"/>
      </w:pPr>
      <w:r>
        <w:t>Role-Based Access Control (RBAC) defined as a permission matrix of roles x resources x actions x scopes.</w:t>
      </w:r>
    </w:p>
    <w:p>
      <w:pPr>
        <w:pStyle w:val="ListBullet"/>
      </w:pPr>
      <w:r>
        <w:t>API routes protected by withAuth / withAuthOnly wrappers enforcing resource:action.</w:t>
      </w:r>
    </w:p>
    <w:p>
      <w:pPr>
        <w:pStyle w:val="ListBullet"/>
      </w:pPr>
      <w:r>
        <w:t>Client-side permission hooks (usePermissions, useHasRole) drive conditional UI and permission-filtered navigation.</w:t>
      </w:r>
    </w:p>
    <w:p>
      <w:pPr>
        <w:pStyle w:val="ListBullet"/>
      </w:pPr>
      <w:r>
        <w:t>Tenant scoping applied on every data path in addition to RBAC.</w:t>
      </w:r>
    </w:p>
    <w:p>
      <w:r>
        <w:rPr>
          <w:b/>
          <w:color w:val="2E86C1"/>
          <w:sz w:val="23"/>
        </w:rPr>
        <w:t>8.2  Encryption at Rest &amp; in Transit</w:t>
      </w:r>
    </w:p>
    <w:p>
      <w:pPr>
        <w:pStyle w:val="ListBullet"/>
      </w:pPr>
      <w:r>
        <w:t>Field-level encryption (AES-256-GCM) on sensitive fileData columns via a Prisma client extension — transparent encrypt on write, decrypt on read.</w:t>
      </w:r>
    </w:p>
    <w:p>
      <w:pPr>
        <w:pStyle w:val="ListBullet"/>
      </w:pPr>
      <w:r>
        <w:t>TLS 1.2+ enforced for all network paths (browser, API, AI backend).</w:t>
      </w:r>
    </w:p>
    <w:p>
      <w:pPr>
        <w:pStyle w:val="ListBullet"/>
      </w:pPr>
      <w:r>
        <w:t>Master key held outside source control (encrypted environment secrets); 90-day key-rotation runbook.</w:t>
      </w:r>
    </w:p>
    <w:p>
      <w:pPr>
        <w:pStyle w:val="ListBullet"/>
      </w:pPr>
      <w:r>
        <w:t>Kill switch (ENCRYPTION_ENABLED) to stage encryption rollout per environment.</w:t>
      </w:r>
    </w:p>
    <w:p>
      <w:pPr>
        <w:pStyle w:val="ListBullet"/>
      </w:pPr>
      <w:r>
        <w:t>Secrets (DB credentials, NEXTAUTH_SECRET, API secrets) never committed; managed as encrypted env vars.</w:t>
      </w:r>
    </w:p>
    <w:p>
      <w:r>
        <w:rPr>
          <w:b/>
          <w:color w:val="2E86C1"/>
          <w:sz w:val="23"/>
        </w:rPr>
        <w:t>8.3  Auditability &amp; Data Protection</w:t>
      </w:r>
    </w:p>
    <w:p>
      <w:pPr>
        <w:pStyle w:val="ListBullet"/>
      </w:pPr>
      <w:r>
        <w:t>Time-stamped audit trail of create/edit/delete actions.</w:t>
      </w:r>
    </w:p>
    <w:p>
      <w:pPr>
        <w:pStyle w:val="ListBullet"/>
      </w:pPr>
      <w:r>
        <w:t>Sensitive values redacted in logs via a safe-logging utility.</w:t>
      </w:r>
    </w:p>
    <w:p>
      <w:pPr>
        <w:pStyle w:val="ListBullet"/>
      </w:pPr>
      <w:r>
        <w:t>Compliance alignment: ISO 27001, SOC 2, GDPR and PCI considerations documented.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9.  Integration &amp; Interfaces</w:t>
      </w:r>
    </w:p>
    <w:p>
      <w:r>
        <w:t>Integrations are confirmed during the Design phase. The platform exposes RESTful APIs and supports standard interface patterns: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SSO / Identity Provider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Optional SAML/OIDC integration (Design-phase)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Services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Internal HTTPS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Assistant &amp; dynamic translation backend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Email / messaging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Due-date reminders and alerts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Import / Export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File-based (CSV/XLSX)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Bulk data load and reporting exports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Audit Reporting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Engagement reports, findings &amp; CAPA exports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10.  Internationalisation (i18n)</w:t>
      </w:r>
    </w:p>
    <w:p>
      <w:pPr>
        <w:pStyle w:val="ListBullet"/>
      </w:pPr>
      <w:r>
        <w:t>Three languages supported: English (default, LTR), Arabic (RTL), Latvian (LTR).</w:t>
      </w:r>
    </w:p>
    <w:p>
      <w:pPr>
        <w:pStyle w:val="ListBullet"/>
      </w:pPr>
      <w:r>
        <w:t>Static UI strings translated via a phrase-based t() function and language context.</w:t>
      </w:r>
    </w:p>
    <w:p>
      <w:pPr>
        <w:pStyle w:val="ListBullet"/>
      </w:pPr>
      <w:r>
        <w:t>Full RTL layout support using directional styling for Arabic.</w:t>
      </w:r>
    </w:p>
    <w:p>
      <w:pPr>
        <w:pStyle w:val="ListBullet"/>
      </w:pPr>
      <w:r>
        <w:t>Dynamic, user-entered data translated via the Python AI backend and stored per record/field/locale.</w:t>
      </w:r>
    </w:p>
    <w:p>
      <w:pPr>
        <w:pStyle w:val="ListBullet"/>
      </w:pPr>
      <w:r>
        <w:t>Translation triggered only on create/edit; viewing never auto-translates.</w:t>
      </w:r>
    </w:p>
    <w:p>
      <w:pPr>
        <w:pStyle w:val="ListBullet"/>
      </w:pPr>
      <w:r>
        <w:t>Multi-language data entry: users may enter data in any supported language; the system translates to the others.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11. 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Target / Approach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Server-rendered pages; paginated, indexed queries for large datasets.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Stateless app tier; horizontal scaling on the hosting platform.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Managed hosting with backups; target SLA agreed in 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RBAC, encryption at rest/in transit, audit trail, secret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Typed codebase, modular structure, automated migrations.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Usability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Responsive, accessible (Radix), multilingual UI.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ISO 27001 / SOC 2 / GDPR / PCI alignment.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Database backups and documented restore procedure.</w:t>
            </w:r>
          </w:p>
        </w:tc>
      </w:tr>
    </w:tbl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12.  Deployment &amp; Environments</w:t>
      </w:r>
    </w:p>
    <w:p>
      <w:r>
        <w:rPr>
          <w:b/>
          <w:color w:val="2E86C1"/>
          <w:sz w:val="23"/>
        </w:rPr>
        <w:t>12.1 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Development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Engineering &amp; integration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Local / isolated database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UAT / Staging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Client acceptance testing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Production-like; env-gated features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Live operations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Managed PostgreSQL, encrypted secrets</w:t>
            </w:r>
          </w:p>
        </w:tc>
      </w:tr>
    </w:tbl>
    <w:p>
      <w:r>
        <w:rPr>
          <w:b/>
          <w:color w:val="2E86C1"/>
          <w:sz w:val="23"/>
        </w:rPr>
        <w:t>12.2  Deployment Approach</w:t>
      </w:r>
    </w:p>
    <w:p>
      <w:pPr>
        <w:pStyle w:val="ListBullet"/>
      </w:pPr>
      <w:r>
        <w:t>Cloud-native deployment on DigitalOcean (app platform + managed PostgreSQL).</w:t>
      </w:r>
    </w:p>
    <w:p>
      <w:pPr>
        <w:pStyle w:val="ListBullet"/>
      </w:pPr>
      <w:r>
        <w:t>Database schema managed via Prisma migrations.</w:t>
      </w:r>
    </w:p>
    <w:p>
      <w:pPr>
        <w:pStyle w:val="ListBullet"/>
      </w:pPr>
      <w:r>
        <w:t>Environment-specific configuration through encrypted environment variables.</w:t>
      </w:r>
    </w:p>
    <w:p>
      <w:pPr>
        <w:pStyle w:val="ListBullet"/>
      </w:pPr>
      <w:r>
        <w:t>Feature/risk gating via environment flags (e.g. encryption kill switch) to validate on UAT before Production.</w:t>
      </w:r>
    </w:p>
    <w:p>
      <w:pPr>
        <w:pStyle w:val="ListBullet"/>
      </w:pPr>
      <w:r>
        <w:t>Scheduled jobs (due-date reminders) run via secured cron endpoints.</w:t>
      </w:r>
    </w:p>
    <w:p>
      <w:pPr>
        <w:pBdr>
          <w:bottom w:val="single" w:sz="6" w:space="2" w:color="2E86C1"/>
        </w:pBdr>
      </w:pPr>
      <w:r>
        <w:rPr>
          <w:b/>
          <w:color w:val="1F3A5F"/>
          <w:sz w:val="28"/>
        </w:rPr>
        <w:t>13.  Assumptions, Dependencies &amp; Risks</w:t>
      </w:r>
    </w:p>
    <w:p>
      <w:r>
        <w:rPr>
          <w:b/>
          <w:color w:val="2E86C1"/>
          <w:sz w:val="23"/>
        </w:rPr>
        <w:t>13.1  Assumptions &amp; Dependencies</w:t>
      </w:r>
    </w:p>
    <w:p>
      <w:pPr>
        <w:pStyle w:val="ListBullet"/>
      </w:pPr>
      <w:r>
        <w:t>Final integration endpoints and identity provider details are confirmed in the Design phase.</w:t>
      </w:r>
    </w:p>
    <w:p>
      <w:pPr>
        <w:pStyle w:val="ListBullet"/>
      </w:pPr>
      <w:r>
        <w:t>The Client provides structured source/reference data for migration.</w:t>
      </w:r>
    </w:p>
    <w:p>
      <w:pPr>
        <w:pStyle w:val="ListBullet"/>
      </w:pPr>
      <w:r>
        <w:t>Hosting region, sizing and SLA targets are agreed before Production provisioning.</w:t>
      </w:r>
    </w:p>
    <w:p>
      <w:pPr>
        <w:pStyle w:val="ListBullet"/>
      </w:pPr>
      <w:r>
        <w:t>The Client provides timely UAT and sign-off.</w:t>
      </w:r>
    </w:p>
    <w:p>
      <w:r>
        <w:rPr>
          <w:b/>
          <w:color w:val="2E86C1"/>
          <w:sz w:val="23"/>
        </w:rPr>
        <w:t>13.2  Key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Scope creep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Baseline sign-off + Change Control.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Data quality issues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Early data profiling and cleansing window.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Integration delays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Confirm interfaces in Design; mock early.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Adoption resistance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Role-based training and enablement.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Glimmora International  |  info@glimmora.ai  |  Solution Design — Internal Audit Platform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