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POC Deployment Strategy</w:t>
      </w:r>
    </w:p>
    <w:p>
      <w:pPr>
        <w:spacing w:after="200"/>
        <w:jc w:val="center"/>
      </w:pPr>
      <w:r>
        <w:rPr>
          <w:color w:val="2E74B5"/>
          <w:sz w:val="32"/>
          <w:szCs w:val="32"/>
        </w:rPr>
        <w:t xml:space="preserve">GRC • TPRM • Internal Audit • Technical Evidence</w:t>
      </w:r>
    </w:p>
    <w:p>
      <w:pPr>
        <w:spacing w:after="600"/>
        <w:jc w:val="center"/>
      </w:pPr>
      <w:r>
        <w:rPr>
          <w:i/>
          <w:iCs/>
          <w:color w:val="595959"/>
          <w:sz w:val="26"/>
          <w:szCs w:val="26"/>
        </w:rPr>
        <w:t xml:space="preserve">Bank Client Handover — Private Code / Client-Owned Database Model</w:t>
      </w:r>
    </w:p>
    <w:p>
      <w:pPr>
        <w:spacing w:after="200"/>
        <w:jc w:val="center"/>
      </w:pPr>
      <w:r>
        <w:rPr>
          <w:sz w:val="22"/>
          <w:szCs w:val="22"/>
        </w:rPr>
        <w:t xml:space="preserve">Prepared by: Baarez Technology Engineering Team</w:t>
      </w:r>
    </w:p>
    <w:p>
      <w:pPr>
        <w:spacing w:after="200"/>
        <w:jc w:val="center"/>
      </w:pPr>
      <w:r>
        <w:rPr>
          <w:sz w:val="22"/>
          <w:szCs w:val="22"/>
        </w:rPr>
        <w:t xml:space="preserve">Document version: 1.0</w:t>
      </w:r>
      <w:r>
        <w:rPr>
          <w:sz w:val="22"/>
          <w:szCs w:val="22"/>
        </w:rPr>
        <w:t xml:space="preserve">       </w:t>
      </w:r>
      <w:r>
        <w:rPr>
          <w:sz w:val="22"/>
          <w:szCs w:val="22"/>
        </w:rPr>
        <w:t xml:space="preserve">Date: 15 May 2026</w:t>
      </w:r>
    </w:p>
    <w:p>
      <w:pPr>
        <w:jc w:val="center"/>
      </w:pPr>
      <w:r>
        <w:rPr>
          <w:i/>
          <w:iCs/>
          <w:color w:val="C00000"/>
          <w:sz w:val="22"/>
          <w:szCs w:val="22"/>
        </w:rPr>
        <w:t xml:space="preserve">Classification: Internal — Pre-Sales / Pre-Handover</w:t>
      </w:r>
    </w:p>
    <w:p>
      <w:r>
        <w:br w:type="page"/>
      </w:r>
    </w:p>
    <w:p>
      <w:pPr>
        <w:pStyle w:val="Heading1"/>
        <w:spacing w:after="200" w:before="360"/>
      </w:pPr>
      <w:r>
        <w:rPr>
          <w:b/>
          <w:bCs/>
          <w:color w:val="1F3864"/>
          <w:sz w:val="36"/>
          <w:szCs w:val="36"/>
        </w:rPr>
        <w:t xml:space="preserve">1. Executive Summary</w:t>
      </w:r>
    </w:p>
    <w:p>
      <w:pPr>
        <w:spacing w:after="120"/>
      </w:pPr>
      <w:r>
        <w:rPr>
          <w:b w:val="false"/>
          <w:bCs w:val="false"/>
          <w:i w:val="false"/>
          <w:iCs w:val="false"/>
          <w:sz w:val="22"/>
          <w:szCs w:val="22"/>
        </w:rPr>
        <w:t xml:space="preserve">This document describes how the GRC application (covering Governance/Risk/Compliance, TPRM, Internal Audit, and Technical Evidence) will be handed over to the Bank as a Proof of Concept (POC) without exposing Baarez Technology's source code, while simultaneously ensuring that all Bank business data resides only inside a PostgreSQL database owned and controlled by the Bank.</w:t>
      </w:r>
    </w:p>
    <w:p>
      <w:pPr>
        <w:spacing w:after="120"/>
      </w:pPr>
      <w:r>
        <w:rPr>
          <w:b w:val="false"/>
          <w:bCs w:val="false"/>
          <w:i w:val="false"/>
          <w:iCs w:val="false"/>
          <w:sz w:val="22"/>
          <w:szCs w:val="22"/>
        </w:rPr>
        <w:t xml:space="preserve">The model is intentionally asymmetric: Baarez retains its intellectual property (the application code) by hosting the runtime inside its own DigitalOcean cloud account, and the Bank retains data sovereignty by providing the PostgreSQL connection string for a database hosted under the Bank's account or on the Bank's preferred infrastructure.</w:t>
      </w:r>
    </w:p>
    <w:p>
      <w:pPr>
        <w:pStyle w:val="Heading2"/>
        <w:spacing w:after="140" w:before="280"/>
      </w:pPr>
      <w:r>
        <w:rPr>
          <w:b/>
          <w:bCs/>
          <w:color w:val="2E74B5"/>
          <w:sz w:val="28"/>
          <w:szCs w:val="28"/>
        </w:rPr>
        <w:t xml:space="preserve">1.1 The Core Idea (One Paragraph)</w:t>
      </w:r>
    </w:p>
    <w:p>
      <w:pPr>
        <w:spacing w:after="120"/>
      </w:pPr>
      <w:r>
        <w:rPr>
          <w:b w:val="false"/>
          <w:bCs w:val="false"/>
          <w:i w:val="false"/>
          <w:iCs w:val="false"/>
          <w:sz w:val="22"/>
          <w:szCs w:val="22"/>
        </w:rPr>
        <w:t xml:space="preserve">Application runtime = Baarez DigitalOcean App Platform. Data tier = the Bank's PostgreSQL database. The two are connected by a single environment variable (DATABASE_URL) over TLS. The Bank never sees Baarez source code. Baarez never persistently stores the Bank's transactional data on its own infrastructure.</w:t>
      </w:r>
    </w:p>
    <w:p>
      <w:pPr>
        <w:pStyle w:val="Heading2"/>
        <w:spacing w:after="140" w:before="280"/>
      </w:pPr>
      <w:r>
        <w:rPr>
          <w:b/>
          <w:bCs/>
          <w:color w:val="2E74B5"/>
          <w:sz w:val="28"/>
          <w:szCs w:val="28"/>
        </w:rPr>
        <w:t xml:space="preserve">1.2 Headline Outcomes</w:t>
      </w:r>
    </w:p>
    <w:p>
      <w:pPr>
        <w:pStyle w:val="ListParagraph"/>
        <w:numPr>
          <w:ilvl w:val="0"/>
          <w:numId w:val="1"/>
        </w:numPr>
        <w:spacing w:after="80"/>
      </w:pPr>
      <w:r>
        <w:rPr>
          <w:sz w:val="22"/>
          <w:szCs w:val="22"/>
        </w:rPr>
        <w:t xml:space="preserve">Bank receives a fully functioning, branded POC on a Baarez-hosted URL within agreed POC timeline.</w:t>
      </w:r>
    </w:p>
    <w:p>
      <w:pPr>
        <w:pStyle w:val="ListParagraph"/>
        <w:numPr>
          <w:ilvl w:val="0"/>
          <w:numId w:val="1"/>
        </w:numPr>
        <w:spacing w:after="80"/>
      </w:pPr>
      <w:r>
        <w:rPr>
          <w:sz w:val="22"/>
          <w:szCs w:val="22"/>
        </w:rPr>
        <w:t xml:space="preserve">Source code and build artefacts remain inside Baarez's DigitalOcean account at all times.</w:t>
      </w:r>
    </w:p>
    <w:p>
      <w:pPr>
        <w:pStyle w:val="ListParagraph"/>
        <w:numPr>
          <w:ilvl w:val="0"/>
          <w:numId w:val="1"/>
        </w:numPr>
        <w:spacing w:after="80"/>
      </w:pPr>
      <w:r>
        <w:rPr>
          <w:sz w:val="22"/>
          <w:szCs w:val="22"/>
        </w:rPr>
        <w:t xml:space="preserve">All persistent business data — users, frameworks, controls, risks, audits, evidence files — lives inside the Bank's PostgreSQL instance.</w:t>
      </w:r>
    </w:p>
    <w:p>
      <w:pPr>
        <w:pStyle w:val="ListParagraph"/>
        <w:numPr>
          <w:ilvl w:val="0"/>
          <w:numId w:val="1"/>
        </w:numPr>
        <w:spacing w:after="80"/>
      </w:pPr>
      <w:r>
        <w:rPr>
          <w:sz w:val="22"/>
          <w:szCs w:val="22"/>
        </w:rPr>
        <w:t xml:space="preserve">Connection between application and database is over TLS with full certificate verification (sslmode=verify-full).</w:t>
      </w:r>
    </w:p>
    <w:p>
      <w:pPr>
        <w:pStyle w:val="ListParagraph"/>
        <w:numPr>
          <w:ilvl w:val="0"/>
          <w:numId w:val="1"/>
        </w:numPr>
        <w:spacing w:after="80"/>
      </w:pPr>
      <w:r>
        <w:rPr>
          <w:sz w:val="22"/>
          <w:szCs w:val="22"/>
        </w:rPr>
        <w:t xml:space="preserve">At end of POC, Bank can simply revoke Baarez's database credentials — the POC is over and no Bank data has leaked.</w:t>
      </w:r>
    </w:p>
    <w:p>
      <w:r>
        <w:br w:type="page"/>
      </w:r>
    </w:p>
    <w:p>
      <w:pPr>
        <w:pStyle w:val="Heading1"/>
        <w:spacing w:after="200" w:before="360"/>
      </w:pPr>
      <w:r>
        <w:rPr>
          <w:b/>
          <w:bCs/>
          <w:color w:val="1F3864"/>
          <w:sz w:val="36"/>
          <w:szCs w:val="36"/>
        </w:rPr>
        <w:t xml:space="preserve">2. Why the Existing Architecture Already Supports This Model</w:t>
      </w:r>
    </w:p>
    <w:p>
      <w:pPr>
        <w:spacing w:after="120"/>
      </w:pPr>
      <w:r>
        <w:rPr>
          <w:b w:val="false"/>
          <w:bCs w:val="false"/>
          <w:i w:val="false"/>
          <w:iCs w:val="false"/>
          <w:sz w:val="22"/>
          <w:szCs w:val="22"/>
        </w:rPr>
        <w:t xml:space="preserve">No code modification is required to swap from the current PostgreSQL connection (used by Baarez during development and BA testing) to a Bank-supplied PostgreSQL connection. The reasons are summarised below.</w:t>
      </w:r>
    </w:p>
    <w:p>
      <w:pPr>
        <w:pStyle w:val="Heading2"/>
        <w:spacing w:after="140" w:before="280"/>
      </w:pPr>
      <w:r>
        <w:rPr>
          <w:b/>
          <w:bCs/>
          <w:color w:val="2E74B5"/>
          <w:sz w:val="28"/>
          <w:szCs w:val="28"/>
        </w:rPr>
        <w:t xml:space="preserve">2.1 Database connection is a single environment variable</w:t>
      </w:r>
    </w:p>
    <w:p>
      <w:pPr>
        <w:spacing w:after="120"/>
      </w:pPr>
      <w:r>
        <w:rPr>
          <w:b w:val="false"/>
          <w:bCs w:val="false"/>
          <w:i w:val="false"/>
          <w:iCs w:val="false"/>
          <w:sz w:val="22"/>
          <w:szCs w:val="22"/>
        </w:rPr>
        <w:t xml:space="preserve">The Prisma datasource is bound to env("DATABASE_URL") in prisma/schema.prisma. The application has no hard-coded database host, port, user, or password. Pointing the application at the Bank's database is therefore a configuration change in DigitalOcean App Platform, not a code change.</w:t>
      </w:r>
    </w:p>
    <w:p>
      <w:pPr>
        <w:shd w:fill="F2F2F2" w:val="clear"/>
        <w:spacing w:after="120" w:before="80"/>
      </w:pPr>
      <w:r>
        <w:rPr>
          <w:rFonts w:ascii="Consolas" w:cs="Consolas" w:eastAsia="Consolas" w:hAnsi="Consolas"/>
          <w:sz w:val="20"/>
          <w:szCs w:val="20"/>
        </w:rPr>
        <w:t xml:space="preserve">datasource db {
  provider = "postgresql"
  url      = env("DATABASE_URL")
}</w:t>
      </w:r>
    </w:p>
    <w:p>
      <w:pPr>
        <w:pStyle w:val="Heading2"/>
        <w:spacing w:after="140" w:before="280"/>
      </w:pPr>
      <w:r>
        <w:rPr>
          <w:b/>
          <w:bCs/>
          <w:color w:val="2E74B5"/>
          <w:sz w:val="28"/>
          <w:szCs w:val="28"/>
        </w:rPr>
        <w:t xml:space="preserve">2.2 TLS hardening is already built in</w:t>
      </w:r>
    </w:p>
    <w:p>
      <w:pPr>
        <w:spacing w:after="120"/>
      </w:pPr>
      <w:r>
        <w:rPr>
          <w:b w:val="false"/>
          <w:bCs w:val="false"/>
          <w:i w:val="false"/>
          <w:iCs w:val="false"/>
          <w:sz w:val="22"/>
          <w:szCs w:val="22"/>
        </w:rPr>
        <w:t xml:space="preserve">The .env.sample template documents the production pattern: sslmode=verify-full with the database cluster's CA certificate supplied via DB_CA_CERT. This works against any PostgreSQL endpoint that ships a CA certificate — DigitalOcean Managed PostgreSQL, AWS RDS, Azure Database for PostgreSQL, Oracle Cloud, or the Bank's on-premise PostgreSQL cluster.</w:t>
      </w:r>
    </w:p>
    <w:p>
      <w:pPr>
        <w:pStyle w:val="Heading2"/>
        <w:spacing w:after="140" w:before="280"/>
      </w:pPr>
      <w:r>
        <w:rPr>
          <w:b/>
          <w:bCs/>
          <w:color w:val="2E74B5"/>
          <w:sz w:val="28"/>
          <w:szCs w:val="28"/>
        </w:rPr>
        <w:t xml:space="preserve">2.3 Multi-tenant data isolation already enforced in schema</w:t>
      </w:r>
    </w:p>
    <w:p>
      <w:pPr>
        <w:spacing w:after="120"/>
      </w:pPr>
      <w:r>
        <w:rPr>
          <w:b w:val="false"/>
          <w:bCs w:val="false"/>
          <w:i w:val="false"/>
          <w:iCs w:val="false"/>
          <w:sz w:val="22"/>
          <w:szCs w:val="22"/>
        </w:rPr>
        <w:t xml:space="preserve">Every business model in the schema carries a customerAccountId foreign key. Even though the Bank will be the only real tenant on its dedicated database, the existing tenancy layer guarantees clean data ownership and makes a future move to multi-tenant production trivial.</w:t>
      </w:r>
    </w:p>
    <w:p>
      <w:pPr>
        <w:pStyle w:val="Heading2"/>
        <w:spacing w:after="140" w:before="280"/>
      </w:pPr>
      <w:r>
        <w:rPr>
          <w:b/>
          <w:bCs/>
          <w:color w:val="2E74B5"/>
          <w:sz w:val="28"/>
          <w:szCs w:val="28"/>
        </w:rPr>
        <w:t xml:space="preserve">2.4 Field-level encryption available as an opt-in</w:t>
      </w:r>
    </w:p>
    <w:p>
      <w:pPr>
        <w:spacing w:after="120"/>
      </w:pPr>
      <w:r>
        <w:rPr>
          <w:b w:val="false"/>
          <w:bCs w:val="false"/>
          <w:i w:val="false"/>
          <w:iCs w:val="false"/>
          <w:sz w:val="22"/>
          <w:szCs w:val="22"/>
        </w:rPr>
        <w:t xml:space="preserve">Sensitive Bytes columns (audit evidence files, internal audit documents, governance templates) can be transparently encrypted at the application layer with AES-256-GCM. This is controlled by ENCRYPTION_ENABLED and FIELD_ENCRYPTION_KEY environment variables. For the POC we recommend keeping it ON, with the master key held in DigitalOcean's encrypted env-var store and a sealed offline backup with the Bank's security team.</w:t>
      </w:r>
    </w:p>
    <w:p>
      <w:pPr>
        <w:pStyle w:val="Heading2"/>
        <w:spacing w:after="140" w:before="280"/>
      </w:pPr>
      <w:r>
        <w:rPr>
          <w:b/>
          <w:bCs/>
          <w:color w:val="2E74B5"/>
          <w:sz w:val="28"/>
          <w:szCs w:val="28"/>
        </w:rPr>
        <w:t xml:space="preserve">2.5 Schema is provisioned via Prisma migrations</w:t>
      </w:r>
    </w:p>
    <w:p>
      <w:pPr>
        <w:spacing w:after="120"/>
      </w:pPr>
      <w:r>
        <w:rPr>
          <w:b w:val="false"/>
          <w:bCs w:val="false"/>
          <w:i w:val="false"/>
          <w:iCs w:val="false"/>
          <w:sz w:val="22"/>
          <w:szCs w:val="22"/>
        </w:rPr>
        <w:t xml:space="preserve">The full database schema lives in prisma/schema.prisma and is materialised through Prisma migrations (prisma/migrations/). A single command applies the entire schema to an empty Bank-supplied database — no manual SQL is needed.</w:t>
      </w:r>
    </w:p>
    <w:p>
      <w:r>
        <w:br w:type="page"/>
      </w:r>
    </w:p>
    <w:p>
      <w:pPr>
        <w:pStyle w:val="Heading1"/>
        <w:spacing w:after="200" w:before="360"/>
      </w:pPr>
      <w:r>
        <w:rPr>
          <w:b/>
          <w:bCs/>
          <w:color w:val="1F3864"/>
          <w:sz w:val="36"/>
          <w:szCs w:val="36"/>
        </w:rPr>
        <w:t xml:space="preserve">3. Deployment Topology</w:t>
      </w:r>
    </w:p>
    <w:p>
      <w:pPr>
        <w:spacing w:after="120"/>
      </w:pPr>
      <w:r>
        <w:rPr>
          <w:b w:val="false"/>
          <w:bCs w:val="false"/>
          <w:i w:val="false"/>
          <w:iCs w:val="false"/>
          <w:sz w:val="22"/>
          <w:szCs w:val="22"/>
        </w:rPr>
        <w:t xml:space="preserve">The POC topology is a clean two-tier split: the application tier sits inside Baarez's DigitalOcean account and the data tier sits inside the Bank's controlled environment. The only network path between them is an outbound TLS connection from the application to the database, secured by certificate verification.</w:t>
      </w:r>
    </w:p>
    <w:p>
      <w:pPr>
        <w:pStyle w:val="Heading2"/>
        <w:spacing w:after="140" w:before="280"/>
      </w:pPr>
      <w:r>
        <w:rPr>
          <w:b/>
          <w:bCs/>
          <w:color w:val="2E74B5"/>
          <w:sz w:val="28"/>
          <w:szCs w:val="28"/>
        </w:rPr>
        <w:t xml:space="preserve">3.1 Logical View</w:t>
      </w:r>
    </w:p>
    <w:p>
      <w:pPr>
        <w:shd w:fill="F2F2F2" w:val="clear"/>
        <w:spacing w:after="120" w:before="80"/>
      </w:pPr>
      <w:r>
        <w:rPr>
          <w:rFonts w:ascii="Consolas" w:cs="Consolas" w:eastAsia="Consolas" w:hAnsi="Consolas"/>
          <w:sz w:val="20"/>
          <w:szCs w:val="20"/>
        </w:rPr>
        <w:t xml:space="preserve">+----------------------------+              +-------------------------------+
|  Bank end-users (browser)  |  HTTPS/TLS   |  Baarez DigitalOcean account  |
|  (laptops, mobile, etc.)   |  =========&gt;  |  - DO App Platform            |
+----------------------------+              |  - Next.js 16 application     |
                                            |  - Prisma client              |
                                            |  - Static assets (CDN)        |
                                            +---------------+---------------+
                                                            |
                                                            | TLS (sslmode=verify-full)
                                                            | DATABASE_URL injected as env var
                                                            v
                                            +-------------------------------+
                                            |  Bank-owned PostgreSQL DB     |
                                            |  (DO Managed PG / AWS RDS /   |
                                            |   Azure / on-prem cluster)    |
                                            |                               |
                                            |  - All schema tables          |
                                            |  - All Bank business data     |
                                            |  - Encrypted file blobs       |
                                            |  - Daily encrypted backups    |
                                            +-------------------------------+</w:t>
      </w:r>
    </w:p>
    <w:p>
      <w:pPr>
        <w:pStyle w:val="Heading2"/>
        <w:spacing w:after="140" w:before="280"/>
      </w:pPr>
      <w:r>
        <w:rPr>
          <w:b/>
          <w:bCs/>
          <w:color w:val="2E74B5"/>
          <w:sz w:val="28"/>
          <w:szCs w:val="28"/>
        </w:rPr>
        <w:t xml:space="preserve">3.2 Trust Boundary</w:t>
      </w:r>
    </w:p>
    <w:p>
      <w:pPr>
        <w:spacing w:after="120"/>
      </w:pPr>
      <w:r>
        <w:rPr>
          <w:b w:val="false"/>
          <w:bCs w:val="false"/>
          <w:i w:val="false"/>
          <w:iCs w:val="false"/>
          <w:sz w:val="22"/>
          <w:szCs w:val="22"/>
        </w:rPr>
        <w:t xml:space="preserve">There are two distinct trust zones. The application runtime is inside Baarez's perimeter; the data store is inside the Bank's perimeter. The boundary is crossed only by a mutually authenticated TLS connection in which the Bank's CA certificate proves the database identity, and the Bank's database firewall whitelists Baarez's outbound IPs (or a private network peer) to prove the caller identity.</w:t>
      </w:r>
    </w:p>
    <w:p>
      <w:r>
        <w:br w:type="page"/>
      </w:r>
    </w:p>
    <w:p>
      <w:pPr>
        <w:pStyle w:val="Heading1"/>
        <w:spacing w:after="200" w:before="360"/>
      </w:pPr>
      <w:r>
        <w:rPr>
          <w:b/>
          <w:bCs/>
          <w:color w:val="1F3864"/>
          <w:sz w:val="36"/>
          <w:szCs w:val="36"/>
        </w:rPr>
        <w:t xml:space="preserve">4. Source Code Confidentiality Guarantees</w:t>
      </w:r>
    </w:p>
    <w:p>
      <w:pPr>
        <w:spacing w:after="120"/>
      </w:pPr>
      <w:r>
        <w:rPr>
          <w:b w:val="false"/>
          <w:bCs w:val="false"/>
          <w:i w:val="false"/>
          <w:iCs w:val="false"/>
          <w:sz w:val="22"/>
          <w:szCs w:val="22"/>
        </w:rPr>
        <w:t xml:space="preserve">The commercial requirement is that the Bank must not be able to read, copy, or self-host the Baarez source code during the POC. The deployment model enforces this in five concrete ways.</w:t>
      </w:r>
    </w:p>
    <w:p>
      <w:pPr>
        <w:pStyle w:val="ListParagraph"/>
        <w:numPr>
          <w:ilvl w:val="0"/>
          <w:numId w:val="1"/>
        </w:numPr>
        <w:spacing w:after="80"/>
      </w:pPr>
      <w:r>
        <w:rPr>
          <w:b/>
          <w:bCs/>
          <w:i w:val="false"/>
          <w:iCs w:val="false"/>
          <w:sz w:val="22"/>
          <w:szCs w:val="22"/>
        </w:rPr>
        <w:t xml:space="preserve">Code never leaves Baarez infrastructure. </w:t>
      </w:r>
      <w:r>
        <w:rPr>
          <w:sz w:val="22"/>
          <w:szCs w:val="22"/>
        </w:rPr>
        <w:t xml:space="preserve">The Git repository, build pipeline, and DigitalOcean App Platform service all live inside Baarez accounts. The Bank has zero credentials to any of them.</w:t>
      </w:r>
    </w:p>
    <w:p>
      <w:pPr>
        <w:pStyle w:val="ListParagraph"/>
        <w:numPr>
          <w:ilvl w:val="0"/>
          <w:numId w:val="1"/>
        </w:numPr>
        <w:spacing w:after="80"/>
      </w:pPr>
      <w:r>
        <w:rPr>
          <w:b/>
          <w:bCs/>
          <w:i w:val="false"/>
          <w:iCs w:val="false"/>
          <w:sz w:val="22"/>
          <w:szCs w:val="22"/>
        </w:rPr>
        <w:t xml:space="preserve">Bank cannot pull the deployed image. </w:t>
      </w:r>
      <w:r>
        <w:rPr>
          <w:sz w:val="22"/>
          <w:szCs w:val="22"/>
        </w:rPr>
        <w:t xml:space="preserve">The Bank has no DigitalOcean access, no container registry pull permission, and no SSH access to the running app.</w:t>
      </w:r>
    </w:p>
    <w:p>
      <w:pPr>
        <w:pStyle w:val="ListParagraph"/>
        <w:numPr>
          <w:ilvl w:val="0"/>
          <w:numId w:val="1"/>
        </w:numPr>
        <w:spacing w:after="80"/>
      </w:pPr>
      <w:r>
        <w:rPr>
          <w:b/>
          <w:bCs/>
          <w:i w:val="false"/>
          <w:iCs w:val="false"/>
          <w:sz w:val="22"/>
          <w:szCs w:val="22"/>
        </w:rPr>
        <w:t xml:space="preserve">Browser receives compiled output only. </w:t>
      </w:r>
      <w:r>
        <w:rPr>
          <w:sz w:val="22"/>
          <w:szCs w:val="22"/>
        </w:rPr>
        <w:t xml:space="preserve">Bank users load minified, tree-shaken, production-built JavaScript. Server-side code (API routes, business logic, Prisma queries) never reaches the browser.</w:t>
      </w:r>
    </w:p>
    <w:p>
      <w:pPr>
        <w:pStyle w:val="ListParagraph"/>
        <w:numPr>
          <w:ilvl w:val="0"/>
          <w:numId w:val="1"/>
        </w:numPr>
        <w:spacing w:after="80"/>
      </w:pPr>
      <w:r>
        <w:rPr>
          <w:b/>
          <w:bCs/>
          <w:i w:val="false"/>
          <w:iCs w:val="false"/>
          <w:sz w:val="22"/>
          <w:szCs w:val="22"/>
        </w:rPr>
        <w:t xml:space="preserve">No source map exposure. </w:t>
      </w:r>
      <w:r>
        <w:rPr>
          <w:sz w:val="22"/>
          <w:szCs w:val="22"/>
        </w:rPr>
        <w:t xml:space="preserve">Production builds do not publish source maps to the public bundle. The browser cannot reconstruct the TypeScript source.</w:t>
      </w:r>
    </w:p>
    <w:p>
      <w:pPr>
        <w:pStyle w:val="ListParagraph"/>
        <w:numPr>
          <w:ilvl w:val="0"/>
          <w:numId w:val="1"/>
        </w:numPr>
        <w:spacing w:after="80"/>
      </w:pPr>
      <w:r>
        <w:rPr>
          <w:b/>
          <w:bCs/>
          <w:i w:val="false"/>
          <w:iCs w:val="false"/>
          <w:sz w:val="22"/>
          <w:szCs w:val="22"/>
        </w:rPr>
        <w:t xml:space="preserve">API surface returns data, not code. </w:t>
      </w:r>
      <w:r>
        <w:rPr>
          <w:sz w:val="22"/>
          <w:szCs w:val="22"/>
        </w:rPr>
        <w:t xml:space="preserve">Even a fully authenticated Bank superadmin sees only JSON payloads from the API. The application logic that produced those payloads stays on the server.</w:t>
      </w:r>
    </w:p>
    <w:p>
      <w:pPr>
        <w:pStyle w:val="Heading1"/>
        <w:spacing w:after="200" w:before="360"/>
      </w:pPr>
      <w:r>
        <w:rPr>
          <w:b/>
          <w:bCs/>
          <w:color w:val="1F3864"/>
          <w:sz w:val="36"/>
          <w:szCs w:val="36"/>
        </w:rPr>
        <w:t xml:space="preserve">5. Data Confidentiality Guarantees</w:t>
      </w:r>
    </w:p>
    <w:p>
      <w:pPr>
        <w:spacing w:after="120"/>
      </w:pPr>
      <w:r>
        <w:rPr>
          <w:b w:val="false"/>
          <w:bCs w:val="false"/>
          <w:i w:val="false"/>
          <w:iCs w:val="false"/>
          <w:sz w:val="22"/>
          <w:szCs w:val="22"/>
        </w:rPr>
        <w:t xml:space="preserve">Symmetrically, the Bank requires that its business data is held exclusively inside its own database and that Baarez retains no shadow copies. The model enforces this as follows.</w:t>
      </w:r>
    </w:p>
    <w:p>
      <w:pPr>
        <w:pStyle w:val="ListParagraph"/>
        <w:numPr>
          <w:ilvl w:val="0"/>
          <w:numId w:val="1"/>
        </w:numPr>
        <w:spacing w:after="80"/>
      </w:pPr>
      <w:r>
        <w:rPr>
          <w:b/>
          <w:bCs/>
          <w:i w:val="false"/>
          <w:iCs w:val="false"/>
          <w:sz w:val="22"/>
          <w:szCs w:val="22"/>
        </w:rPr>
        <w:t xml:space="preserve">Database is in the Bank's perimeter. </w:t>
      </w:r>
      <w:r>
        <w:rPr>
          <w:sz w:val="22"/>
          <w:szCs w:val="22"/>
        </w:rPr>
        <w:t xml:space="preserve">All persistent rows — users, departments, controls, risks, audit findings, CAPAs, evidence binaries — are written only to the Bank-supplied PostgreSQL instance.</w:t>
      </w:r>
    </w:p>
    <w:p>
      <w:pPr>
        <w:pStyle w:val="ListParagraph"/>
        <w:numPr>
          <w:ilvl w:val="0"/>
          <w:numId w:val="1"/>
        </w:numPr>
        <w:spacing w:after="80"/>
      </w:pPr>
      <w:r>
        <w:rPr>
          <w:b/>
          <w:bCs/>
          <w:i w:val="false"/>
          <w:iCs w:val="false"/>
          <w:sz w:val="22"/>
          <w:szCs w:val="22"/>
        </w:rPr>
        <w:t xml:space="preserve">No local persistence on the app tier. </w:t>
      </w:r>
      <w:r>
        <w:rPr>
          <w:sz w:val="22"/>
          <w:szCs w:val="22"/>
        </w:rPr>
        <w:t xml:space="preserve">DigitalOcean App Platform containers are ephemeral; the application writes nothing to local disk that is not also written to the database. File uploads are stored as Bytes columns inside the Bank's database (not on the app's filesystem).</w:t>
      </w:r>
    </w:p>
    <w:p>
      <w:pPr>
        <w:pStyle w:val="ListParagraph"/>
        <w:numPr>
          <w:ilvl w:val="0"/>
          <w:numId w:val="1"/>
        </w:numPr>
        <w:spacing w:after="80"/>
      </w:pPr>
      <w:r>
        <w:rPr>
          <w:b/>
          <w:bCs/>
          <w:i w:val="false"/>
          <w:iCs w:val="false"/>
          <w:sz w:val="22"/>
          <w:szCs w:val="22"/>
        </w:rPr>
        <w:t xml:space="preserve">TLS verify-full at all times. </w:t>
      </w:r>
      <w:r>
        <w:rPr>
          <w:sz w:val="22"/>
          <w:szCs w:val="22"/>
        </w:rPr>
        <w:t xml:space="preserve">The connection cannot be downgraded to plain text or man-in-the-middled because the application verifies the database server's certificate against the CA the Bank provided.</w:t>
      </w:r>
    </w:p>
    <w:p>
      <w:pPr>
        <w:pStyle w:val="ListParagraph"/>
        <w:numPr>
          <w:ilvl w:val="0"/>
          <w:numId w:val="1"/>
        </w:numPr>
        <w:spacing w:after="80"/>
      </w:pPr>
      <w:r>
        <w:rPr>
          <w:b/>
          <w:bCs/>
          <w:i w:val="false"/>
          <w:iCs w:val="false"/>
          <w:sz w:val="22"/>
          <w:szCs w:val="22"/>
        </w:rPr>
        <w:t xml:space="preserve">Field-level AES-256-GCM for high-value blobs. </w:t>
      </w:r>
      <w:r>
        <w:rPr>
          <w:sz w:val="22"/>
          <w:szCs w:val="22"/>
        </w:rPr>
        <w:t xml:space="preserve">Audit evidence, internal audit documents, and governance templates can be additionally encrypted at the application layer so that even a stolen database backup is unreadable without the master key.</w:t>
      </w:r>
    </w:p>
    <w:p>
      <w:pPr>
        <w:pStyle w:val="ListParagraph"/>
        <w:numPr>
          <w:ilvl w:val="0"/>
          <w:numId w:val="1"/>
        </w:numPr>
        <w:spacing w:after="80"/>
      </w:pPr>
      <w:r>
        <w:rPr>
          <w:b/>
          <w:bCs/>
          <w:i w:val="false"/>
          <w:iCs w:val="false"/>
          <w:sz w:val="22"/>
          <w:szCs w:val="22"/>
        </w:rPr>
        <w:t xml:space="preserve">Logs are scrubbed. </w:t>
      </w:r>
      <w:r>
        <w:rPr>
          <w:sz w:val="22"/>
          <w:szCs w:val="22"/>
        </w:rPr>
        <w:t xml:space="preserve">The safeLog helper redacts known-sensitive keys before anything is written to DigitalOcean log streams.</w:t>
      </w:r>
    </w:p>
    <w:p>
      <w:pPr>
        <w:pStyle w:val="ListParagraph"/>
        <w:numPr>
          <w:ilvl w:val="0"/>
          <w:numId w:val="1"/>
        </w:numPr>
        <w:spacing w:after="80"/>
      </w:pPr>
      <w:r>
        <w:rPr>
          <w:b/>
          <w:bCs/>
          <w:i w:val="false"/>
          <w:iCs w:val="false"/>
          <w:sz w:val="22"/>
          <w:szCs w:val="22"/>
        </w:rPr>
        <w:t xml:space="preserve">End-of-POC revocation is instant. </w:t>
      </w:r>
      <w:r>
        <w:rPr>
          <w:sz w:val="22"/>
          <w:szCs w:val="22"/>
        </w:rPr>
        <w:t xml:space="preserve">Bank revokes the database user; application immediately loses access; no Bank data is retained anywhere in Baarez infrastructure.</w:t>
      </w:r>
    </w:p>
    <w:p>
      <w:r>
        <w:br w:type="page"/>
      </w:r>
    </w:p>
    <w:p>
      <w:pPr>
        <w:pStyle w:val="Heading1"/>
        <w:spacing w:after="200" w:before="360"/>
      </w:pPr>
      <w:r>
        <w:rPr>
          <w:b/>
          <w:bCs/>
          <w:color w:val="1F3864"/>
          <w:sz w:val="36"/>
          <w:szCs w:val="36"/>
        </w:rPr>
        <w:t xml:space="preserve">6. Pre-Handover Prerequisites</w:t>
      </w:r>
    </w:p>
    <w:p>
      <w:pPr>
        <w:pStyle w:val="Heading2"/>
        <w:spacing w:after="140" w:before="280"/>
      </w:pPr>
      <w:r>
        <w:rPr>
          <w:b/>
          <w:bCs/>
          <w:color w:val="2E74B5"/>
          <w:sz w:val="28"/>
          <w:szCs w:val="28"/>
        </w:rPr>
        <w:t xml:space="preserve">6.1 Provided by the Bank</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rPr>
          <w:tblHeader/>
        </w:trPr>
        <w:tc>
          <w:tcPr>
            <w:tcW w:type="pct" w:w="25%"/>
            <w:shd w:fill="1F3864" w:val="clear"/>
          </w:tcPr>
          <w:p>
            <w:pPr>
              <w:spacing w:after="60" w:before="60"/>
            </w:pPr>
            <w:r>
              <w:rPr>
                <w:b/>
                <w:bCs/>
                <w:color w:val="FFFFFF"/>
                <w:sz w:val="20"/>
                <w:szCs w:val="20"/>
              </w:rPr>
              <w:t xml:space="preserve">Item</w:t>
            </w:r>
          </w:p>
        </w:tc>
        <w:tc>
          <w:tcPr>
            <w:tcW w:type="pct" w:w="60%"/>
            <w:shd w:fill="1F3864" w:val="clear"/>
          </w:tcPr>
          <w:p>
            <w:pPr>
              <w:spacing w:after="60" w:before="60"/>
            </w:pPr>
            <w:r>
              <w:rPr>
                <w:b/>
                <w:bCs/>
                <w:color w:val="FFFFFF"/>
                <w:sz w:val="20"/>
                <w:szCs w:val="20"/>
              </w:rPr>
              <w:t xml:space="preserve">Description</w:t>
            </w:r>
          </w:p>
        </w:tc>
        <w:tc>
          <w:tcPr>
            <w:tcW w:type="pct" w:w="15%"/>
            <w:shd w:fill="1F3864" w:val="clear"/>
          </w:tcPr>
          <w:p>
            <w:pPr>
              <w:spacing w:after="60" w:before="60"/>
            </w:pPr>
            <w:r>
              <w:rPr>
                <w:b/>
                <w:bCs/>
                <w:color w:val="FFFFFF"/>
                <w:sz w:val="20"/>
                <w:szCs w:val="20"/>
              </w:rPr>
              <w:t xml:space="preserve">Mandatory?</w:t>
            </w:r>
          </w:p>
        </w:tc>
      </w:tr>
      <w:tr>
        <w:tc>
          <w:tcPr>
            <w:tcW w:type="pct" w:w="25%"/>
          </w:tcPr>
          <w:p>
            <w:pPr>
              <w:spacing w:after="60" w:before="60"/>
            </w:pPr>
            <w:r>
              <w:rPr>
                <w:b w:val="false"/>
                <w:bCs w:val="false"/>
                <w:color w:val="000000"/>
                <w:sz w:val="20"/>
                <w:szCs w:val="20"/>
              </w:rPr>
              <w:t xml:space="preserve">PostgreSQL cluster</w:t>
            </w:r>
          </w:p>
        </w:tc>
        <w:tc>
          <w:tcPr>
            <w:tcW w:type="pct" w:w="60%"/>
          </w:tcPr>
          <w:p>
            <w:pPr>
              <w:spacing w:after="60" w:before="60"/>
            </w:pPr>
            <w:r>
              <w:rPr>
                <w:b w:val="false"/>
                <w:bCs w:val="false"/>
                <w:color w:val="000000"/>
                <w:sz w:val="20"/>
                <w:szCs w:val="20"/>
              </w:rPr>
              <w:t xml:space="preserve">Version 14 or higher. Empty database created by the Bank's DBA team.</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Database admin credentials</w:t>
            </w:r>
          </w:p>
        </w:tc>
        <w:tc>
          <w:tcPr>
            <w:tcW w:type="pct" w:w="60%"/>
          </w:tcPr>
          <w:p>
            <w:pPr>
              <w:spacing w:after="60" w:before="60"/>
            </w:pPr>
            <w:r>
              <w:rPr>
                <w:b w:val="false"/>
                <w:bCs w:val="false"/>
                <w:color w:val="000000"/>
                <w:sz w:val="20"/>
                <w:szCs w:val="20"/>
              </w:rPr>
              <w:t xml:space="preserve">User with CREATE/ALTER/DROP privileges to run the initial schema migration. Can be downgraded to read/write after migration.</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Network access</w:t>
            </w:r>
          </w:p>
        </w:tc>
        <w:tc>
          <w:tcPr>
            <w:tcW w:type="pct" w:w="60%"/>
          </w:tcPr>
          <w:p>
            <w:pPr>
              <w:spacing w:after="60" w:before="60"/>
            </w:pPr>
            <w:r>
              <w:rPr>
                <w:b w:val="false"/>
                <w:bCs w:val="false"/>
                <w:color w:val="000000"/>
                <w:sz w:val="20"/>
                <w:szCs w:val="20"/>
              </w:rPr>
              <w:t xml:space="preserve">Whitelist Baarez's DigitalOcean App Platform outbound IPs on the database firewall, OR establish private peering / VPN.</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CA certificate</w:t>
            </w:r>
          </w:p>
        </w:tc>
        <w:tc>
          <w:tcPr>
            <w:tcW w:type="pct" w:w="60%"/>
          </w:tcPr>
          <w:p>
            <w:pPr>
              <w:spacing w:after="60" w:before="60"/>
            </w:pPr>
            <w:r>
              <w:rPr>
                <w:b w:val="false"/>
                <w:bCs w:val="false"/>
                <w:color w:val="000000"/>
                <w:sz w:val="20"/>
                <w:szCs w:val="20"/>
              </w:rPr>
              <w:t xml:space="preserve">PEM file for the database cluster so that sslmode=verify-full can verify the server identity.</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Backup policy</w:t>
            </w:r>
          </w:p>
        </w:tc>
        <w:tc>
          <w:tcPr>
            <w:tcW w:type="pct" w:w="60%"/>
          </w:tcPr>
          <w:p>
            <w:pPr>
              <w:spacing w:after="60" w:before="60"/>
            </w:pPr>
            <w:r>
              <w:rPr>
                <w:b w:val="false"/>
                <w:bCs w:val="false"/>
                <w:color w:val="000000"/>
                <w:sz w:val="20"/>
                <w:szCs w:val="20"/>
              </w:rPr>
              <w:t xml:space="preserve">Daily automated backups on the Bank side. Baarez is not the backup custodian.</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Custom domain (optional)</w:t>
            </w:r>
          </w:p>
        </w:tc>
        <w:tc>
          <w:tcPr>
            <w:tcW w:type="pct" w:w="60%"/>
          </w:tcPr>
          <w:p>
            <w:pPr>
              <w:spacing w:after="60" w:before="60"/>
            </w:pPr>
            <w:r>
              <w:rPr>
                <w:b w:val="false"/>
                <w:bCs w:val="false"/>
                <w:color w:val="000000"/>
                <w:sz w:val="20"/>
                <w:szCs w:val="20"/>
              </w:rPr>
              <w:t xml:space="preserve">If POC is to be served at grc.bankname.com, a CNAME entry pointing to the Baarez DigitalOcean app endpoint.</w:t>
            </w:r>
          </w:p>
        </w:tc>
        <w:tc>
          <w:tcPr>
            <w:tcW w:type="pct" w:w="15%"/>
          </w:tcPr>
          <w:p>
            <w:pPr>
              <w:spacing w:after="60" w:before="60"/>
            </w:pPr>
            <w:r>
              <w:rPr>
                <w:b w:val="false"/>
                <w:bCs w:val="false"/>
                <w:color w:val="000000"/>
                <w:sz w:val="20"/>
                <w:szCs w:val="20"/>
              </w:rPr>
              <w:t xml:space="preserve">Optional</w:t>
            </w:r>
          </w:p>
        </w:tc>
      </w:tr>
    </w:tbl>
    <w:p>
      <w:pPr>
        <w:pStyle w:val="Heading2"/>
        <w:spacing w:after="140" w:before="280"/>
      </w:pPr>
      <w:r>
        <w:rPr>
          <w:b/>
          <w:bCs/>
          <w:color w:val="2E74B5"/>
          <w:sz w:val="28"/>
          <w:szCs w:val="28"/>
        </w:rPr>
        <w:t xml:space="preserve">6.2 Provided by Baarez Technology</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rPr>
          <w:tblHeader/>
        </w:trPr>
        <w:tc>
          <w:tcPr>
            <w:tcW w:type="pct" w:w="25%"/>
            <w:shd w:fill="1F3864" w:val="clear"/>
          </w:tcPr>
          <w:p>
            <w:pPr>
              <w:spacing w:after="60" w:before="60"/>
            </w:pPr>
            <w:r>
              <w:rPr>
                <w:b/>
                <w:bCs/>
                <w:color w:val="FFFFFF"/>
                <w:sz w:val="20"/>
                <w:szCs w:val="20"/>
              </w:rPr>
              <w:t xml:space="preserve">Item</w:t>
            </w:r>
          </w:p>
        </w:tc>
        <w:tc>
          <w:tcPr>
            <w:tcW w:type="pct" w:w="60%"/>
            <w:shd w:fill="1F3864" w:val="clear"/>
          </w:tcPr>
          <w:p>
            <w:pPr>
              <w:spacing w:after="60" w:before="60"/>
            </w:pPr>
            <w:r>
              <w:rPr>
                <w:b/>
                <w:bCs/>
                <w:color w:val="FFFFFF"/>
                <w:sz w:val="20"/>
                <w:szCs w:val="20"/>
              </w:rPr>
              <w:t xml:space="preserve">Description</w:t>
            </w:r>
          </w:p>
        </w:tc>
        <w:tc>
          <w:tcPr>
            <w:tcW w:type="pct" w:w="15%"/>
            <w:shd w:fill="1F3864" w:val="clear"/>
          </w:tcPr>
          <w:p>
            <w:pPr>
              <w:spacing w:after="60" w:before="60"/>
            </w:pPr>
            <w:r>
              <w:rPr>
                <w:b/>
                <w:bCs/>
                <w:color w:val="FFFFFF"/>
                <w:sz w:val="20"/>
                <w:szCs w:val="20"/>
              </w:rPr>
              <w:t xml:space="preserve">Mandatory?</w:t>
            </w:r>
          </w:p>
        </w:tc>
      </w:tr>
      <w:tr>
        <w:tc>
          <w:tcPr>
            <w:tcW w:type="pct" w:w="25%"/>
          </w:tcPr>
          <w:p>
            <w:pPr>
              <w:spacing w:after="60" w:before="60"/>
            </w:pPr>
            <w:r>
              <w:rPr>
                <w:b w:val="false"/>
                <w:bCs w:val="false"/>
                <w:color w:val="000000"/>
                <w:sz w:val="20"/>
                <w:szCs w:val="20"/>
              </w:rPr>
              <w:t xml:space="preserve">DigitalOcean App Platform app</w:t>
            </w:r>
          </w:p>
        </w:tc>
        <w:tc>
          <w:tcPr>
            <w:tcW w:type="pct" w:w="60%"/>
          </w:tcPr>
          <w:p>
            <w:pPr>
              <w:spacing w:after="60" w:before="60"/>
            </w:pPr>
            <w:r>
              <w:rPr>
                <w:b w:val="false"/>
                <w:bCs w:val="false"/>
                <w:color w:val="000000"/>
                <w:sz w:val="20"/>
                <w:szCs w:val="20"/>
              </w:rPr>
              <w:t xml:space="preserve">New app provisioned inside Baarez's DO account, in the same region as the Bank's database where possible.</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Build artefact</w:t>
            </w:r>
          </w:p>
        </w:tc>
        <w:tc>
          <w:tcPr>
            <w:tcW w:type="pct" w:w="60%"/>
          </w:tcPr>
          <w:p>
            <w:pPr>
              <w:spacing w:after="60" w:before="60"/>
            </w:pPr>
            <w:r>
              <w:rPr>
                <w:b w:val="false"/>
                <w:bCs w:val="false"/>
                <w:color w:val="000000"/>
                <w:sz w:val="20"/>
                <w:szCs w:val="20"/>
              </w:rPr>
              <w:t xml:space="preserve">Production build of the GRC-MultiTenant branch (or a frozen POC tag), deployed automatically from the private repository.</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Environment variables</w:t>
            </w:r>
          </w:p>
        </w:tc>
        <w:tc>
          <w:tcPr>
            <w:tcW w:type="pct" w:w="60%"/>
          </w:tcPr>
          <w:p>
            <w:pPr>
              <w:spacing w:after="60" w:before="60"/>
            </w:pPr>
            <w:r>
              <w:rPr>
                <w:b w:val="false"/>
                <w:bCs w:val="false"/>
                <w:color w:val="000000"/>
                <w:sz w:val="20"/>
                <w:szCs w:val="20"/>
              </w:rPr>
              <w:t xml:space="preserve">DATABASE_URL, DB_CA_CERT, AUTH_SECRET, FIELD_ENCRYPTION_KEY, ENCRYPTION_ENABLED, NEXT_PUBLIC_APP_URL — all stored as DO encrypted env vars.</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Initial schema deployment</w:t>
            </w:r>
          </w:p>
        </w:tc>
        <w:tc>
          <w:tcPr>
            <w:tcW w:type="pct" w:w="60%"/>
          </w:tcPr>
          <w:p>
            <w:pPr>
              <w:spacing w:after="60" w:before="60"/>
            </w:pPr>
            <w:r>
              <w:rPr>
                <w:b w:val="false"/>
                <w:bCs w:val="false"/>
                <w:color w:val="000000"/>
                <w:sz w:val="20"/>
                <w:szCs w:val="20"/>
              </w:rPr>
              <w:t xml:space="preserve">Single run of Prisma migration against the Bank database.</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Seed data</w:t>
            </w:r>
          </w:p>
        </w:tc>
        <w:tc>
          <w:tcPr>
            <w:tcW w:type="pct" w:w="60%"/>
          </w:tcPr>
          <w:p>
            <w:pPr>
              <w:spacing w:after="60" w:before="60"/>
            </w:pPr>
            <w:r>
              <w:rPr>
                <w:b w:val="false"/>
                <w:bCs w:val="false"/>
                <w:color w:val="000000"/>
                <w:sz w:val="20"/>
                <w:szCs w:val="20"/>
              </w:rPr>
              <w:t xml:space="preserve">Superadmin account + master data (frameworks, control catalogues, risk taxonomy, audit master data).</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Smoke test report</w:t>
            </w:r>
          </w:p>
        </w:tc>
        <w:tc>
          <w:tcPr>
            <w:tcW w:type="pct" w:w="60%"/>
          </w:tcPr>
          <w:p>
            <w:pPr>
              <w:spacing w:after="60" w:before="60"/>
            </w:pPr>
            <w:r>
              <w:rPr>
                <w:b w:val="false"/>
                <w:bCs w:val="false"/>
                <w:color w:val="000000"/>
                <w:sz w:val="20"/>
                <w:szCs w:val="20"/>
              </w:rPr>
              <w:t xml:space="preserve">Evidence that authentication, customer onboarding, and core CRUD across GRC/TPRM/IA/TE works end-to-end against the Bank's database.</w:t>
            </w:r>
          </w:p>
        </w:tc>
        <w:tc>
          <w:tcPr>
            <w:tcW w:type="pct" w:w="15%"/>
          </w:tcPr>
          <w:p>
            <w:pPr>
              <w:spacing w:after="60" w:before="60"/>
            </w:pPr>
            <w:r>
              <w:rPr>
                <w:b w:val="false"/>
                <w:bCs w:val="false"/>
                <w:color w:val="000000"/>
                <w:sz w:val="20"/>
                <w:szCs w:val="20"/>
              </w:rPr>
              <w:t xml:space="preserve">Yes</w:t>
            </w:r>
          </w:p>
        </w:tc>
      </w:tr>
      <w:tr>
        <w:tc>
          <w:tcPr>
            <w:tcW w:type="pct" w:w="25%"/>
          </w:tcPr>
          <w:p>
            <w:pPr>
              <w:spacing w:after="60" w:before="60"/>
            </w:pPr>
            <w:r>
              <w:rPr>
                <w:b w:val="false"/>
                <w:bCs w:val="false"/>
                <w:color w:val="000000"/>
                <w:sz w:val="20"/>
                <w:szCs w:val="20"/>
              </w:rPr>
              <w:t xml:space="preserve">Operational runbook</w:t>
            </w:r>
          </w:p>
        </w:tc>
        <w:tc>
          <w:tcPr>
            <w:tcW w:type="pct" w:w="60%"/>
          </w:tcPr>
          <w:p>
            <w:pPr>
              <w:spacing w:after="60" w:before="60"/>
            </w:pPr>
            <w:r>
              <w:rPr>
                <w:b w:val="false"/>
                <w:bCs w:val="false"/>
                <w:color w:val="000000"/>
                <w:sz w:val="20"/>
                <w:szCs w:val="20"/>
              </w:rPr>
              <w:t xml:space="preserve">Restart, redeploy, rollback, log retrieval, key rotation — handed to the Bank's IT operations team.</w:t>
            </w:r>
          </w:p>
        </w:tc>
        <w:tc>
          <w:tcPr>
            <w:tcW w:type="pct" w:w="15%"/>
          </w:tcPr>
          <w:p>
            <w:pPr>
              <w:spacing w:after="60" w:before="60"/>
            </w:pPr>
            <w:r>
              <w:rPr>
                <w:b w:val="false"/>
                <w:bCs w:val="false"/>
                <w:color w:val="000000"/>
                <w:sz w:val="20"/>
                <w:szCs w:val="20"/>
              </w:rPr>
              <w:t xml:space="preserve">Yes</w:t>
            </w:r>
          </w:p>
        </w:tc>
      </w:tr>
    </w:tbl>
    <w:p>
      <w:r>
        <w:br w:type="page"/>
      </w:r>
    </w:p>
    <w:p>
      <w:pPr>
        <w:pStyle w:val="Heading1"/>
        <w:spacing w:after="200" w:before="360"/>
      </w:pPr>
      <w:r>
        <w:rPr>
          <w:b/>
          <w:bCs/>
          <w:color w:val="1F3864"/>
          <w:sz w:val="36"/>
          <w:szCs w:val="36"/>
        </w:rPr>
        <w:t xml:space="preserve">7. Step-by-Step Deployment Workflow</w:t>
      </w:r>
    </w:p>
    <w:p>
      <w:pPr>
        <w:spacing w:after="120"/>
      </w:pPr>
      <w:r>
        <w:rPr>
          <w:b w:val="false"/>
          <w:bCs w:val="false"/>
          <w:i w:val="false"/>
          <w:iCs w:val="false"/>
          <w:sz w:val="22"/>
          <w:szCs w:val="22"/>
        </w:rPr>
        <w:t xml:space="preserve">The deployment is performed once by a Baarez engineer with help from a Bank DBA. The total wall-clock time is typically half a working day, dominated by network/firewall coordination on the Bank side.</w:t>
      </w:r>
    </w:p>
    <w:p>
      <w:pPr>
        <w:pStyle w:val="Heading2"/>
        <w:spacing w:after="140" w:before="280"/>
      </w:pPr>
      <w:r>
        <w:rPr>
          <w:b/>
          <w:bCs/>
          <w:color w:val="2E74B5"/>
          <w:sz w:val="28"/>
          <w:szCs w:val="28"/>
        </w:rPr>
        <w:t xml:space="preserve">Step 1 — Receive database connection details from the Bank</w:t>
      </w:r>
    </w:p>
    <w:p>
      <w:pPr>
        <w:pStyle w:val="ListParagraph"/>
        <w:numPr>
          <w:ilvl w:val="0"/>
          <w:numId w:val="1"/>
        </w:numPr>
        <w:spacing w:after="80"/>
      </w:pPr>
      <w:r>
        <w:rPr>
          <w:sz w:val="22"/>
          <w:szCs w:val="22"/>
        </w:rPr>
        <w:t xml:space="preserve">Bank DBA shares host, port, database name, username, password, and CA certificate via an out-of-band secure channel (encrypted vault, 1Password share, sealed envelope, secure email).</w:t>
      </w:r>
    </w:p>
    <w:p>
      <w:pPr>
        <w:pStyle w:val="ListParagraph"/>
        <w:numPr>
          <w:ilvl w:val="0"/>
          <w:numId w:val="1"/>
        </w:numPr>
        <w:spacing w:after="80"/>
      </w:pPr>
      <w:r>
        <w:rPr>
          <w:sz w:val="22"/>
          <w:szCs w:val="22"/>
        </w:rPr>
        <w:t xml:space="preserve">Baarez engineer validates connectivity locally with psql before touching DigitalOcean.</w:t>
      </w:r>
    </w:p>
    <w:p>
      <w:pPr>
        <w:shd w:fill="F2F2F2" w:val="clear"/>
        <w:spacing w:after="120" w:before="80"/>
      </w:pPr>
      <w:r>
        <w:rPr>
          <w:rFonts w:ascii="Consolas" w:cs="Consolas" w:eastAsia="Consolas" w:hAnsi="Consolas"/>
          <w:sz w:val="20"/>
          <w:szCs w:val="20"/>
        </w:rPr>
        <w:t xml:space="preserve">psql "postgresql://USER:PASS@HOST:5432/DB?sslmode=verify-full&amp;sslrootcert=ca.pem"</w:t>
      </w:r>
    </w:p>
    <w:p>
      <w:pPr>
        <w:pStyle w:val="Heading2"/>
        <w:spacing w:after="140" w:before="280"/>
      </w:pPr>
      <w:r>
        <w:rPr>
          <w:b/>
          <w:bCs/>
          <w:color w:val="2E74B5"/>
          <w:sz w:val="28"/>
          <w:szCs w:val="28"/>
        </w:rPr>
        <w:t xml:space="preserve">Step 2 — Provision the DigitalOcean App</w:t>
      </w:r>
    </w:p>
    <w:p>
      <w:pPr>
        <w:pStyle w:val="ListParagraph"/>
        <w:numPr>
          <w:ilvl w:val="0"/>
          <w:numId w:val="1"/>
        </w:numPr>
        <w:spacing w:after="80"/>
      </w:pPr>
      <w:r>
        <w:rPr>
          <w:sz w:val="22"/>
          <w:szCs w:val="22"/>
        </w:rPr>
        <w:t xml:space="preserve">Create a new App Platform application in the Baarez DigitalOcean account.</w:t>
      </w:r>
    </w:p>
    <w:p>
      <w:pPr>
        <w:pStyle w:val="ListParagraph"/>
        <w:numPr>
          <w:ilvl w:val="0"/>
          <w:numId w:val="1"/>
        </w:numPr>
        <w:spacing w:after="80"/>
      </w:pPr>
      <w:r>
        <w:rPr>
          <w:sz w:val="22"/>
          <w:szCs w:val="22"/>
        </w:rPr>
        <w:t xml:space="preserve">Connect it to the private GitHub repository (baarez-technology/grc-app), pinned to the agreed POC branch or tag.</w:t>
      </w:r>
    </w:p>
    <w:p>
      <w:pPr>
        <w:pStyle w:val="ListParagraph"/>
        <w:numPr>
          <w:ilvl w:val="0"/>
          <w:numId w:val="1"/>
        </w:numPr>
        <w:spacing w:after="80"/>
      </w:pPr>
      <w:r>
        <w:rPr>
          <w:sz w:val="22"/>
          <w:szCs w:val="22"/>
        </w:rPr>
        <w:t xml:space="preserve">Configure the build command (npm run build) and run command (npm run start).</w:t>
      </w:r>
    </w:p>
    <w:p>
      <w:pPr>
        <w:pStyle w:val="ListParagraph"/>
        <w:numPr>
          <w:ilvl w:val="0"/>
          <w:numId w:val="1"/>
        </w:numPr>
        <w:spacing w:after="80"/>
      </w:pPr>
      <w:r>
        <w:rPr>
          <w:sz w:val="22"/>
          <w:szCs w:val="22"/>
        </w:rPr>
        <w:t xml:space="preserve">Disable any auto-deploy webhook that would publish unreviewed commits to the Bank-facing app.</w:t>
      </w:r>
    </w:p>
    <w:p>
      <w:pPr>
        <w:pStyle w:val="Heading2"/>
        <w:spacing w:after="140" w:before="280"/>
      </w:pPr>
      <w:r>
        <w:rPr>
          <w:b/>
          <w:bCs/>
          <w:color w:val="2E74B5"/>
          <w:sz w:val="28"/>
          <w:szCs w:val="28"/>
        </w:rPr>
        <w:t xml:space="preserve">Step 3 — Inject environment variables</w:t>
      </w:r>
    </w:p>
    <w:p>
      <w:pPr>
        <w:spacing w:after="120"/>
      </w:pPr>
      <w:r>
        <w:rPr>
          <w:b w:val="false"/>
          <w:bCs w:val="false"/>
          <w:i w:val="false"/>
          <w:iCs w:val="false"/>
          <w:sz w:val="22"/>
          <w:szCs w:val="22"/>
        </w:rPr>
        <w:t xml:space="preserve">All values below are stored as DigitalOcean encrypted env vars. Nothing is committed to the repository.</w:t>
      </w:r>
    </w:p>
    <w:p>
      <w:pPr>
        <w:pStyle w:val="ListParagraph"/>
        <w:numPr>
          <w:ilvl w:val="0"/>
          <w:numId w:val="1"/>
        </w:numPr>
        <w:spacing w:after="80"/>
      </w:pPr>
      <w:r>
        <w:rPr>
          <w:sz w:val="22"/>
          <w:szCs w:val="22"/>
        </w:rPr>
        <w:t xml:space="preserve">DATABASE_URL = postgresql://USER:PASS@HOST:5432/DB?sslmode=verify-full</w:t>
      </w:r>
    </w:p>
    <w:p>
      <w:pPr>
        <w:pStyle w:val="ListParagraph"/>
        <w:numPr>
          <w:ilvl w:val="0"/>
          <w:numId w:val="1"/>
        </w:numPr>
        <w:spacing w:after="80"/>
      </w:pPr>
      <w:r>
        <w:rPr>
          <w:sz w:val="22"/>
          <w:szCs w:val="22"/>
        </w:rPr>
        <w:t xml:space="preserve">DB_CA_CERT = full PEM content of the Bank's CA certificate</w:t>
      </w:r>
    </w:p>
    <w:p>
      <w:pPr>
        <w:pStyle w:val="ListParagraph"/>
        <w:numPr>
          <w:ilvl w:val="0"/>
          <w:numId w:val="1"/>
        </w:numPr>
        <w:spacing w:after="80"/>
      </w:pPr>
      <w:r>
        <w:rPr>
          <w:sz w:val="22"/>
          <w:szCs w:val="22"/>
        </w:rPr>
        <w:t xml:space="preserve">AUTH_SECRET = freshly generated 32-byte secret (openssl rand -base64 32)</w:t>
      </w:r>
    </w:p>
    <w:p>
      <w:pPr>
        <w:pStyle w:val="ListParagraph"/>
        <w:numPr>
          <w:ilvl w:val="0"/>
          <w:numId w:val="1"/>
        </w:numPr>
        <w:spacing w:after="80"/>
      </w:pPr>
      <w:r>
        <w:rPr>
          <w:sz w:val="22"/>
          <w:szCs w:val="22"/>
        </w:rPr>
        <w:t xml:space="preserve">FIELD_ENCRYPTION_KEY = freshly generated 32-byte base64 key</w:t>
      </w:r>
    </w:p>
    <w:p>
      <w:pPr>
        <w:pStyle w:val="ListParagraph"/>
        <w:numPr>
          <w:ilvl w:val="0"/>
          <w:numId w:val="1"/>
        </w:numPr>
        <w:spacing w:after="80"/>
      </w:pPr>
      <w:r>
        <w:rPr>
          <w:sz w:val="22"/>
          <w:szCs w:val="22"/>
        </w:rPr>
        <w:t xml:space="preserve">ENCRYPTION_ENABLED = true</w:t>
      </w:r>
    </w:p>
    <w:p>
      <w:pPr>
        <w:pStyle w:val="ListParagraph"/>
        <w:numPr>
          <w:ilvl w:val="0"/>
          <w:numId w:val="1"/>
        </w:numPr>
        <w:spacing w:after="80"/>
      </w:pPr>
      <w:r>
        <w:rPr>
          <w:sz w:val="22"/>
          <w:szCs w:val="22"/>
        </w:rPr>
        <w:t xml:space="preserve">NEXT_PUBLIC_APP_URL = https://&lt;final-bank-facing-URL&gt;</w:t>
      </w:r>
    </w:p>
    <w:p>
      <w:pPr>
        <w:pStyle w:val="Heading2"/>
        <w:spacing w:after="140" w:before="280"/>
      </w:pPr>
      <w:r>
        <w:rPr>
          <w:b/>
          <w:bCs/>
          <w:color w:val="2E74B5"/>
          <w:sz w:val="28"/>
          <w:szCs w:val="28"/>
        </w:rPr>
        <w:t xml:space="preserve">Step 4 — Apply schema to the Bank database</w:t>
      </w:r>
    </w:p>
    <w:p>
      <w:pPr>
        <w:pStyle w:val="ListParagraph"/>
        <w:numPr>
          <w:ilvl w:val="0"/>
          <w:numId w:val="1"/>
        </w:numPr>
        <w:spacing w:after="80"/>
      </w:pPr>
      <w:r>
        <w:rPr>
          <w:sz w:val="22"/>
          <w:szCs w:val="22"/>
        </w:rPr>
        <w:t xml:space="preserve">Run prisma migrate deploy (or, equivalently, prisma db push for an empty database) using the same DATABASE_URL.</w:t>
      </w:r>
    </w:p>
    <w:p>
      <w:pPr>
        <w:pStyle w:val="ListParagraph"/>
        <w:numPr>
          <w:ilvl w:val="0"/>
          <w:numId w:val="1"/>
        </w:numPr>
        <w:spacing w:after="80"/>
      </w:pPr>
      <w:r>
        <w:rPr>
          <w:sz w:val="22"/>
          <w:szCs w:val="22"/>
        </w:rPr>
        <w:t xml:space="preserve">Verify all tables, indexes, and foreign keys are present.</w:t>
      </w:r>
    </w:p>
    <w:p>
      <w:pPr>
        <w:pStyle w:val="ListParagraph"/>
        <w:numPr>
          <w:ilvl w:val="0"/>
          <w:numId w:val="1"/>
        </w:numPr>
        <w:spacing w:after="80"/>
      </w:pPr>
      <w:r>
        <w:rPr>
          <w:sz w:val="22"/>
          <w:szCs w:val="22"/>
        </w:rPr>
        <w:t xml:space="preserve">Bank DBA confirms that the migration user privileges can now be downgraded to ordinary read/write.</w:t>
      </w:r>
    </w:p>
    <w:p>
      <w:pPr>
        <w:pStyle w:val="Heading2"/>
        <w:spacing w:after="140" w:before="280"/>
      </w:pPr>
      <w:r>
        <w:rPr>
          <w:b/>
          <w:bCs/>
          <w:color w:val="2E74B5"/>
          <w:sz w:val="28"/>
          <w:szCs w:val="28"/>
        </w:rPr>
        <w:t xml:space="preserve">Step 5 — Seed bootstrap data</w:t>
      </w:r>
    </w:p>
    <w:p>
      <w:pPr>
        <w:pStyle w:val="ListParagraph"/>
        <w:numPr>
          <w:ilvl w:val="0"/>
          <w:numId w:val="1"/>
        </w:numPr>
        <w:spacing w:after="80"/>
      </w:pPr>
      <w:r>
        <w:rPr>
          <w:sz w:val="22"/>
          <w:szCs w:val="22"/>
        </w:rPr>
        <w:t xml:space="preserve">Run prisma/seed.ts to create the superadmin user (GRCAdministrator role) plus master data.</w:t>
      </w:r>
    </w:p>
    <w:p>
      <w:pPr>
        <w:pStyle w:val="ListParagraph"/>
        <w:numPr>
          <w:ilvl w:val="0"/>
          <w:numId w:val="1"/>
        </w:numPr>
        <w:spacing w:after="80"/>
      </w:pPr>
      <w:r>
        <w:rPr>
          <w:sz w:val="22"/>
          <w:szCs w:val="22"/>
        </w:rPr>
        <w:t xml:space="preserve">Optional: run seed-customer-bts.ts variant or build a Bank-specific seed if branded baseline content is required.</w:t>
      </w:r>
    </w:p>
    <w:p>
      <w:pPr>
        <w:pStyle w:val="ListParagraph"/>
        <w:numPr>
          <w:ilvl w:val="0"/>
          <w:numId w:val="1"/>
        </w:numPr>
        <w:spacing w:after="80"/>
      </w:pPr>
      <w:r>
        <w:rPr>
          <w:sz w:val="22"/>
          <w:szCs w:val="22"/>
        </w:rPr>
        <w:t xml:space="preserve">Hand the superadmin credentials to the Bank's POC owner via the agreed secure channel; rotate immediately on first login.</w:t>
      </w:r>
    </w:p>
    <w:p>
      <w:pPr>
        <w:pStyle w:val="Heading2"/>
        <w:spacing w:after="140" w:before="280"/>
      </w:pPr>
      <w:r>
        <w:rPr>
          <w:b/>
          <w:bCs/>
          <w:color w:val="2E74B5"/>
          <w:sz w:val="28"/>
          <w:szCs w:val="28"/>
        </w:rPr>
        <w:t xml:space="preserve">Step 6 — Smoke test</w:t>
      </w:r>
    </w:p>
    <w:p>
      <w:pPr>
        <w:pStyle w:val="ListParagraph"/>
        <w:numPr>
          <w:ilvl w:val="0"/>
          <w:numId w:val="1"/>
        </w:numPr>
        <w:spacing w:after="80"/>
      </w:pPr>
      <w:r>
        <w:rPr>
          <w:sz w:val="22"/>
          <w:szCs w:val="22"/>
        </w:rPr>
        <w:t xml:space="preserve">Login as superadmin.</w:t>
      </w:r>
    </w:p>
    <w:p>
      <w:pPr>
        <w:pStyle w:val="ListParagraph"/>
        <w:numPr>
          <w:ilvl w:val="0"/>
          <w:numId w:val="1"/>
        </w:numPr>
        <w:spacing w:after="80"/>
      </w:pPr>
      <w:r>
        <w:rPr>
          <w:sz w:val="22"/>
          <w:szCs w:val="22"/>
        </w:rPr>
        <w:t xml:space="preserve">Create the Bank as a CustomerAccount; enable GRC, TPRM, Internal Audit, and Technical Evidence flags as agreed.</w:t>
      </w:r>
    </w:p>
    <w:p>
      <w:pPr>
        <w:pStyle w:val="ListParagraph"/>
        <w:numPr>
          <w:ilvl w:val="0"/>
          <w:numId w:val="1"/>
        </w:numPr>
        <w:spacing w:after="80"/>
      </w:pPr>
      <w:r>
        <w:rPr>
          <w:sz w:val="22"/>
          <w:szCs w:val="22"/>
        </w:rPr>
        <w:t xml:space="preserve">Onboard a small set of Bank users with representative roles (CustomerAdministrator, AuditHead, Auditor, Auditee, DepartmentReviewer).</w:t>
      </w:r>
    </w:p>
    <w:p>
      <w:pPr>
        <w:pStyle w:val="ListParagraph"/>
        <w:numPr>
          <w:ilvl w:val="0"/>
          <w:numId w:val="1"/>
        </w:numPr>
        <w:spacing w:after="80"/>
      </w:pPr>
      <w:r>
        <w:rPr>
          <w:sz w:val="22"/>
          <w:szCs w:val="22"/>
        </w:rPr>
        <w:t xml:space="preserve">Exercise a representative flow per module: create a Risk, run a Compliance check, schedule an Audit Engagement, log a TPRM vendor assessment, upload a Technical Evidence file.</w:t>
      </w:r>
    </w:p>
    <w:p>
      <w:pPr>
        <w:pStyle w:val="ListParagraph"/>
        <w:numPr>
          <w:ilvl w:val="0"/>
          <w:numId w:val="1"/>
        </w:numPr>
        <w:spacing w:after="80"/>
      </w:pPr>
      <w:r>
        <w:rPr>
          <w:sz w:val="22"/>
          <w:szCs w:val="22"/>
        </w:rPr>
        <w:t xml:space="preserve">Confirm all writes land in the Bank database (psql SELECT on a sample table).</w:t>
      </w:r>
    </w:p>
    <w:p>
      <w:pPr>
        <w:pStyle w:val="Heading2"/>
        <w:spacing w:after="140" w:before="280"/>
      </w:pPr>
      <w:r>
        <w:rPr>
          <w:b/>
          <w:bCs/>
          <w:color w:val="2E74B5"/>
          <w:sz w:val="28"/>
          <w:szCs w:val="28"/>
        </w:rPr>
        <w:t xml:space="preserve">Step 7 — Custom domain and TLS</w:t>
      </w:r>
    </w:p>
    <w:p>
      <w:pPr>
        <w:pStyle w:val="ListParagraph"/>
        <w:numPr>
          <w:ilvl w:val="0"/>
          <w:numId w:val="1"/>
        </w:numPr>
        <w:spacing w:after="80"/>
      </w:pPr>
      <w:r>
        <w:rPr>
          <w:sz w:val="22"/>
          <w:szCs w:val="22"/>
        </w:rPr>
        <w:t xml:space="preserve">Bank provides CNAME (e.g., grc-poc.bankname.com).</w:t>
      </w:r>
    </w:p>
    <w:p>
      <w:pPr>
        <w:pStyle w:val="ListParagraph"/>
        <w:numPr>
          <w:ilvl w:val="0"/>
          <w:numId w:val="1"/>
        </w:numPr>
        <w:spacing w:after="80"/>
      </w:pPr>
      <w:r>
        <w:rPr>
          <w:sz w:val="22"/>
          <w:szCs w:val="22"/>
        </w:rPr>
        <w:t xml:space="preserve">DigitalOcean App Platform auto-issues a Let's Encrypt certificate.</w:t>
      </w:r>
    </w:p>
    <w:p>
      <w:pPr>
        <w:pStyle w:val="ListParagraph"/>
        <w:numPr>
          <w:ilvl w:val="0"/>
          <w:numId w:val="1"/>
        </w:numPr>
        <w:spacing w:after="80"/>
      </w:pPr>
      <w:r>
        <w:rPr>
          <w:sz w:val="22"/>
          <w:szCs w:val="22"/>
        </w:rPr>
        <w:t xml:space="preserve">Force HTTPS only; HSTS optional for the POC, recommended for production.</w:t>
      </w:r>
    </w:p>
    <w:p>
      <w:pPr>
        <w:pStyle w:val="Heading2"/>
        <w:spacing w:after="140" w:before="280"/>
      </w:pPr>
      <w:r>
        <w:rPr>
          <w:b/>
          <w:bCs/>
          <w:color w:val="2E74B5"/>
          <w:sz w:val="28"/>
          <w:szCs w:val="28"/>
        </w:rPr>
        <w:t xml:space="preserve">Step 8 — Operational handover</w:t>
      </w:r>
    </w:p>
    <w:p>
      <w:pPr>
        <w:pStyle w:val="ListParagraph"/>
        <w:numPr>
          <w:ilvl w:val="0"/>
          <w:numId w:val="1"/>
        </w:numPr>
        <w:spacing w:after="80"/>
      </w:pPr>
      <w:r>
        <w:rPr>
          <w:sz w:val="22"/>
          <w:szCs w:val="22"/>
        </w:rPr>
        <w:t xml:space="preserve">Share runbook with Bank IT-Ops: how to request a restart, how to read logs, how to escalate.</w:t>
      </w:r>
    </w:p>
    <w:p>
      <w:pPr>
        <w:pStyle w:val="ListParagraph"/>
        <w:numPr>
          <w:ilvl w:val="0"/>
          <w:numId w:val="1"/>
        </w:numPr>
        <w:spacing w:after="80"/>
      </w:pPr>
      <w:r>
        <w:rPr>
          <w:sz w:val="22"/>
          <w:szCs w:val="22"/>
        </w:rPr>
        <w:t xml:space="preserve">Establish a Slack / email channel for incident notification.</w:t>
      </w:r>
    </w:p>
    <w:p>
      <w:pPr>
        <w:pStyle w:val="ListParagraph"/>
        <w:numPr>
          <w:ilvl w:val="0"/>
          <w:numId w:val="1"/>
        </w:numPr>
        <w:spacing w:after="80"/>
      </w:pPr>
      <w:r>
        <w:rPr>
          <w:sz w:val="22"/>
          <w:szCs w:val="22"/>
        </w:rPr>
        <w:t xml:space="preserve">Agree on POC duration (typical: 30 days), success criteria, and exit options.</w:t>
      </w:r>
    </w:p>
    <w:p>
      <w:r>
        <w:br w:type="page"/>
      </w:r>
    </w:p>
    <w:p>
      <w:pPr>
        <w:pStyle w:val="Heading1"/>
        <w:spacing w:after="200" w:before="360"/>
      </w:pPr>
      <w:r>
        <w:rPr>
          <w:b/>
          <w:bCs/>
          <w:color w:val="1F3864"/>
          <w:sz w:val="36"/>
          <w:szCs w:val="36"/>
        </w:rPr>
        <w:t xml:space="preserve">8. Data Flow After Handover</w:t>
      </w:r>
    </w:p>
    <w:p>
      <w:pPr>
        <w:spacing w:after="120"/>
      </w:pPr>
      <w:r>
        <w:rPr>
          <w:b w:val="false"/>
          <w:bCs w:val="false"/>
          <w:i w:val="false"/>
          <w:iCs w:val="false"/>
          <w:sz w:val="22"/>
          <w:szCs w:val="22"/>
        </w:rPr>
        <w:t xml:space="preserve">Once the POC is live, every interaction follows the same pattern: the Bank user's browser talks to Baarez's hosted Next.js app over HTTPS, and the Next.js app talks to the Bank's PostgreSQL database over TLS. Nothing is buffered, cached, or persisted in between.</w:t>
      </w:r>
    </w:p>
    <w:p>
      <w:pPr>
        <w:pStyle w:val="Heading2"/>
        <w:spacing w:after="140" w:before="280"/>
      </w:pPr>
      <w:r>
        <w:rPr>
          <w:b/>
          <w:bCs/>
          <w:color w:val="2E74B5"/>
          <w:sz w:val="28"/>
          <w:szCs w:val="28"/>
        </w:rPr>
        <w:t xml:space="preserve">8.1 Write Path Example — Auditor uploads evidence</w:t>
      </w:r>
    </w:p>
    <w:p>
      <w:pPr>
        <w:pStyle w:val="ListParagraph"/>
        <w:numPr>
          <w:ilvl w:val="0"/>
          <w:numId w:val="1"/>
        </w:numPr>
        <w:spacing w:after="80"/>
      </w:pPr>
      <w:r>
        <w:rPr>
          <w:sz w:val="22"/>
          <w:szCs w:val="22"/>
        </w:rPr>
        <w:t xml:space="preserve">Browser POSTs multipart form data to /api/internal-audit/.../evidence over HTTPS.</w:t>
      </w:r>
    </w:p>
    <w:p>
      <w:pPr>
        <w:pStyle w:val="ListParagraph"/>
        <w:numPr>
          <w:ilvl w:val="0"/>
          <w:numId w:val="1"/>
        </w:numPr>
        <w:spacing w:after="80"/>
      </w:pPr>
      <w:r>
        <w:rPr>
          <w:sz w:val="22"/>
          <w:szCs w:val="22"/>
        </w:rPr>
        <w:t xml:space="preserve">Next.js API route validates the session JWT (signed with AUTH_SECRET, verified in memory).</w:t>
      </w:r>
    </w:p>
    <w:p>
      <w:pPr>
        <w:pStyle w:val="ListParagraph"/>
        <w:numPr>
          <w:ilvl w:val="0"/>
          <w:numId w:val="1"/>
        </w:numPr>
        <w:spacing w:after="80"/>
      </w:pPr>
      <w:r>
        <w:rPr>
          <w:sz w:val="22"/>
          <w:szCs w:val="22"/>
        </w:rPr>
        <w:t xml:space="preserve">RBAC check via withAuth wrapper enforces resource:action permission.</w:t>
      </w:r>
    </w:p>
    <w:p>
      <w:pPr>
        <w:pStyle w:val="ListParagraph"/>
        <w:numPr>
          <w:ilvl w:val="0"/>
          <w:numId w:val="1"/>
        </w:numPr>
        <w:spacing w:after="80"/>
      </w:pPr>
      <w:r>
        <w:rPr>
          <w:sz w:val="22"/>
          <w:szCs w:val="22"/>
        </w:rPr>
        <w:t xml:space="preserve">Prisma client extension encrypts the file Bytes column with AES-256-GCM.</w:t>
      </w:r>
    </w:p>
    <w:p>
      <w:pPr>
        <w:pStyle w:val="ListParagraph"/>
        <w:numPr>
          <w:ilvl w:val="0"/>
          <w:numId w:val="1"/>
        </w:numPr>
        <w:spacing w:after="80"/>
      </w:pPr>
      <w:r>
        <w:rPr>
          <w:sz w:val="22"/>
          <w:szCs w:val="22"/>
        </w:rPr>
        <w:t xml:space="preserve">Encrypted blob is INSERTed into the Bank PostgreSQL over TLS.</w:t>
      </w:r>
    </w:p>
    <w:p>
      <w:pPr>
        <w:pStyle w:val="ListParagraph"/>
        <w:numPr>
          <w:ilvl w:val="0"/>
          <w:numId w:val="1"/>
        </w:numPr>
        <w:spacing w:after="80"/>
      </w:pPr>
      <w:r>
        <w:rPr>
          <w:sz w:val="22"/>
          <w:szCs w:val="22"/>
        </w:rPr>
        <w:t xml:space="preserve">Response (success/failure JSON) returns to browser. No file copy remains on the app tier.</w:t>
      </w:r>
    </w:p>
    <w:p>
      <w:pPr>
        <w:pStyle w:val="Heading2"/>
        <w:spacing w:after="140" w:before="280"/>
      </w:pPr>
      <w:r>
        <w:rPr>
          <w:b/>
          <w:bCs/>
          <w:color w:val="2E74B5"/>
          <w:sz w:val="28"/>
          <w:szCs w:val="28"/>
        </w:rPr>
        <w:t xml:space="preserve">8.2 Read Path Example — Reviewer opens an audit finding</w:t>
      </w:r>
    </w:p>
    <w:p>
      <w:pPr>
        <w:pStyle w:val="ListParagraph"/>
        <w:numPr>
          <w:ilvl w:val="0"/>
          <w:numId w:val="1"/>
        </w:numPr>
        <w:spacing w:after="80"/>
      </w:pPr>
      <w:r>
        <w:rPr>
          <w:sz w:val="22"/>
          <w:szCs w:val="22"/>
        </w:rPr>
        <w:t xml:space="preserve">Browser GETs /internal-audit/findings/{id}.</w:t>
      </w:r>
    </w:p>
    <w:p>
      <w:pPr>
        <w:pStyle w:val="ListParagraph"/>
        <w:numPr>
          <w:ilvl w:val="0"/>
          <w:numId w:val="1"/>
        </w:numPr>
        <w:spacing w:after="80"/>
      </w:pPr>
      <w:r>
        <w:rPr>
          <w:sz w:val="22"/>
          <w:szCs w:val="22"/>
        </w:rPr>
        <w:t xml:space="preserve">Next.js server-side rendering authenticates the session.</w:t>
      </w:r>
    </w:p>
    <w:p>
      <w:pPr>
        <w:pStyle w:val="ListParagraph"/>
        <w:numPr>
          <w:ilvl w:val="0"/>
          <w:numId w:val="1"/>
        </w:numPr>
        <w:spacing w:after="80"/>
      </w:pPr>
      <w:r>
        <w:rPr>
          <w:sz w:val="22"/>
          <w:szCs w:val="22"/>
        </w:rPr>
        <w:t xml:space="preserve">Prisma SELECT against Bank database returns rows including the encrypted attachment.</w:t>
      </w:r>
    </w:p>
    <w:p>
      <w:pPr>
        <w:pStyle w:val="ListParagraph"/>
        <w:numPr>
          <w:ilvl w:val="0"/>
          <w:numId w:val="1"/>
        </w:numPr>
        <w:spacing w:after="80"/>
      </w:pPr>
      <w:r>
        <w:rPr>
          <w:sz w:val="22"/>
          <w:szCs w:val="22"/>
        </w:rPr>
        <w:t xml:space="preserve">Prisma client extension decrypts in memory.</w:t>
      </w:r>
    </w:p>
    <w:p>
      <w:pPr>
        <w:pStyle w:val="ListParagraph"/>
        <w:numPr>
          <w:ilvl w:val="0"/>
          <w:numId w:val="1"/>
        </w:numPr>
        <w:spacing w:after="80"/>
      </w:pPr>
      <w:r>
        <w:rPr>
          <w:sz w:val="22"/>
          <w:szCs w:val="22"/>
        </w:rPr>
        <w:t xml:space="preserve">Server renders HTML; client receives the rendered page and lazy-loads the binary.</w:t>
      </w:r>
    </w:p>
    <w:p>
      <w:pPr>
        <w:pStyle w:val="ListParagraph"/>
        <w:numPr>
          <w:ilvl w:val="0"/>
          <w:numId w:val="1"/>
        </w:numPr>
        <w:spacing w:after="80"/>
      </w:pPr>
      <w:r>
        <w:rPr>
          <w:sz w:val="22"/>
          <w:szCs w:val="22"/>
        </w:rPr>
        <w:t xml:space="preserve">Memory is freed at request end.</w:t>
      </w:r>
    </w:p>
    <w:p>
      <w:pPr>
        <w:pStyle w:val="Heading1"/>
        <w:spacing w:after="200" w:before="360"/>
      </w:pPr>
      <w:r>
        <w:rPr>
          <w:b/>
          <w:bCs/>
          <w:color w:val="1F3864"/>
          <w:sz w:val="36"/>
          <w:szCs w:val="36"/>
        </w:rPr>
        <w:t xml:space="preserve">9. Post-POC Handover Options</w:t>
      </w:r>
    </w:p>
    <w:p>
      <w:pPr>
        <w:spacing w:after="120"/>
      </w:pPr>
      <w:r>
        <w:rPr>
          <w:b w:val="false"/>
          <w:bCs w:val="false"/>
          <w:i w:val="false"/>
          <w:iCs w:val="false"/>
          <w:sz w:val="22"/>
          <w:szCs w:val="22"/>
        </w:rPr>
        <w:t xml:space="preserve">The POC architecture deliberately keeps options open. Depending on the Bank's appetite and the outcome of the POC, three commercial paths are available.</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rPr>
          <w:tblHeader/>
        </w:trPr>
        <w:tc>
          <w:tcPr>
            <w:tcW w:type="pct" w:w="25%"/>
            <w:shd w:fill="1F3864" w:val="clear"/>
          </w:tcPr>
          <w:p>
            <w:pPr>
              <w:spacing w:after="60" w:before="60"/>
            </w:pPr>
            <w:r>
              <w:rPr>
                <w:b/>
                <w:bCs/>
                <w:color w:val="FFFFFF"/>
                <w:sz w:val="20"/>
                <w:szCs w:val="20"/>
              </w:rPr>
              <w:t xml:space="preserve">Option</w:t>
            </w:r>
          </w:p>
        </w:tc>
        <w:tc>
          <w:tcPr>
            <w:tcW w:type="pct" w:w="50%"/>
            <w:shd w:fill="1F3864" w:val="clear"/>
          </w:tcPr>
          <w:p>
            <w:pPr>
              <w:spacing w:after="60" w:before="60"/>
            </w:pPr>
            <w:r>
              <w:rPr>
                <w:b/>
                <w:bCs/>
                <w:color w:val="FFFFFF"/>
                <w:sz w:val="20"/>
                <w:szCs w:val="20"/>
              </w:rPr>
              <w:t xml:space="preserve">What changes</w:t>
            </w:r>
          </w:p>
        </w:tc>
        <w:tc>
          <w:tcPr>
            <w:tcW w:type="pct" w:w="25%"/>
            <w:shd w:fill="1F3864" w:val="clear"/>
          </w:tcPr>
          <w:p>
            <w:pPr>
              <w:spacing w:after="60" w:before="60"/>
            </w:pPr>
            <w:r>
              <w:rPr>
                <w:b/>
                <w:bCs/>
                <w:color w:val="FFFFFF"/>
                <w:sz w:val="20"/>
                <w:szCs w:val="20"/>
              </w:rPr>
              <w:t xml:space="preserve">Best when</w:t>
            </w:r>
          </w:p>
        </w:tc>
      </w:tr>
      <w:tr>
        <w:tc>
          <w:tcPr>
            <w:tcW w:type="pct" w:w="25%"/>
          </w:tcPr>
          <w:p>
            <w:pPr>
              <w:spacing w:after="60" w:before="60"/>
            </w:pPr>
            <w:r>
              <w:rPr>
                <w:b w:val="false"/>
                <w:bCs w:val="false"/>
                <w:color w:val="000000"/>
                <w:sz w:val="20"/>
                <w:szCs w:val="20"/>
              </w:rPr>
              <w:t xml:space="preserve">A. Continue current model (Baarez hosts, Bank owns DB)</w:t>
            </w:r>
          </w:p>
        </w:tc>
        <w:tc>
          <w:tcPr>
            <w:tcW w:type="pct" w:w="50%"/>
          </w:tcPr>
          <w:p>
            <w:pPr>
              <w:spacing w:after="60" w:before="60"/>
            </w:pPr>
            <w:r>
              <w:rPr>
                <w:b w:val="false"/>
                <w:bCs w:val="false"/>
                <w:color w:val="000000"/>
                <w:sz w:val="20"/>
                <w:szCs w:val="20"/>
              </w:rPr>
              <w:t xml:space="preserve">Move the same deployment from POC tier to a Production tier on DigitalOcean. Add HA, monitoring, SLA. No architectural change.</w:t>
            </w:r>
          </w:p>
        </w:tc>
        <w:tc>
          <w:tcPr>
            <w:tcW w:type="pct" w:w="25%"/>
          </w:tcPr>
          <w:p>
            <w:pPr>
              <w:spacing w:after="60" w:before="60"/>
            </w:pPr>
            <w:r>
              <w:rPr>
                <w:b w:val="false"/>
                <w:bCs w:val="false"/>
                <w:color w:val="000000"/>
                <w:sz w:val="20"/>
                <w:szCs w:val="20"/>
              </w:rPr>
              <w:t xml:space="preserve">Bank wants speed-to-value and is comfortable with Baarez as a managed-service operator.</w:t>
            </w:r>
          </w:p>
        </w:tc>
      </w:tr>
      <w:tr>
        <w:tc>
          <w:tcPr>
            <w:tcW w:type="pct" w:w="25%"/>
          </w:tcPr>
          <w:p>
            <w:pPr>
              <w:spacing w:after="60" w:before="60"/>
            </w:pPr>
            <w:r>
              <w:rPr>
                <w:b w:val="false"/>
                <w:bCs w:val="false"/>
                <w:color w:val="000000"/>
                <w:sz w:val="20"/>
                <w:szCs w:val="20"/>
              </w:rPr>
              <w:t xml:space="preserve">B. Bank self-hosts the application</w:t>
            </w:r>
          </w:p>
        </w:tc>
        <w:tc>
          <w:tcPr>
            <w:tcW w:type="pct" w:w="50%"/>
          </w:tcPr>
          <w:p>
            <w:pPr>
              <w:spacing w:after="60" w:before="60"/>
            </w:pPr>
            <w:r>
              <w:rPr>
                <w:b w:val="false"/>
                <w:bCs w:val="false"/>
                <w:color w:val="000000"/>
                <w:sz w:val="20"/>
                <w:szCs w:val="20"/>
              </w:rPr>
              <w:t xml:space="preserve">Baarez delivers a hardened Docker image and operational documentation. Bank runs the container in its own DO/AWS/Azure account against its own database. Source still not shared.</w:t>
            </w:r>
          </w:p>
        </w:tc>
        <w:tc>
          <w:tcPr>
            <w:tcW w:type="pct" w:w="25%"/>
          </w:tcPr>
          <w:p>
            <w:pPr>
              <w:spacing w:after="60" w:before="60"/>
            </w:pPr>
            <w:r>
              <w:rPr>
                <w:b w:val="false"/>
                <w:bCs w:val="false"/>
                <w:color w:val="000000"/>
                <w:sz w:val="20"/>
                <w:szCs w:val="20"/>
              </w:rPr>
              <w:t xml:space="preserve">Bank policy mandates that production workloads run inside the Bank's cloud footprint.</w:t>
            </w:r>
          </w:p>
        </w:tc>
      </w:tr>
      <w:tr>
        <w:tc>
          <w:tcPr>
            <w:tcW w:type="pct" w:w="25%"/>
          </w:tcPr>
          <w:p>
            <w:pPr>
              <w:spacing w:after="60" w:before="60"/>
            </w:pPr>
            <w:r>
              <w:rPr>
                <w:b w:val="false"/>
                <w:bCs w:val="false"/>
                <w:color w:val="000000"/>
                <w:sz w:val="20"/>
                <w:szCs w:val="20"/>
              </w:rPr>
              <w:t xml:space="preserve">C. Full source-code licence transfer</w:t>
            </w:r>
          </w:p>
        </w:tc>
        <w:tc>
          <w:tcPr>
            <w:tcW w:type="pct" w:w="50%"/>
          </w:tcPr>
          <w:p>
            <w:pPr>
              <w:spacing w:after="60" w:before="60"/>
            </w:pPr>
            <w:r>
              <w:rPr>
                <w:b w:val="false"/>
                <w:bCs w:val="false"/>
                <w:color w:val="000000"/>
                <w:sz w:val="20"/>
                <w:szCs w:val="20"/>
              </w:rPr>
              <w:t xml:space="preserve">Commercial agreement under which Baarez delivers the full source repository plus a knowledge-transfer programme.</w:t>
            </w:r>
          </w:p>
        </w:tc>
        <w:tc>
          <w:tcPr>
            <w:tcW w:type="pct" w:w="25%"/>
          </w:tcPr>
          <w:p>
            <w:pPr>
              <w:spacing w:after="60" w:before="60"/>
            </w:pPr>
            <w:r>
              <w:rPr>
                <w:b w:val="false"/>
                <w:bCs w:val="false"/>
                <w:color w:val="000000"/>
                <w:sz w:val="20"/>
                <w:szCs w:val="20"/>
              </w:rPr>
              <w:t xml:space="preserve">Bank wants long-term internal ownership; usually triggered after successful POC + commercial sign-off.</w:t>
            </w:r>
          </w:p>
        </w:tc>
      </w:tr>
    </w:tbl>
    <w:p>
      <w:r>
        <w:br w:type="page"/>
      </w:r>
    </w:p>
    <w:p>
      <w:pPr>
        <w:pStyle w:val="Heading1"/>
        <w:spacing w:after="200" w:before="360"/>
      </w:pPr>
      <w:r>
        <w:rPr>
          <w:b/>
          <w:bCs/>
          <w:color w:val="1F3864"/>
          <w:sz w:val="36"/>
          <w:szCs w:val="36"/>
        </w:rPr>
        <w:t xml:space="preserve">10. Risks and Mitigations</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rPr>
          <w:tblHeader/>
        </w:trPr>
        <w:tc>
          <w:tcPr>
            <w:tcW w:type="pct" w:w="30%"/>
            <w:shd w:fill="1F3864" w:val="clear"/>
          </w:tcPr>
          <w:p>
            <w:pPr>
              <w:spacing w:after="60" w:before="60"/>
            </w:pPr>
            <w:r>
              <w:rPr>
                <w:b/>
                <w:bCs/>
                <w:color w:val="FFFFFF"/>
                <w:sz w:val="20"/>
                <w:szCs w:val="20"/>
              </w:rPr>
              <w:t xml:space="preserve">Risk</w:t>
            </w:r>
          </w:p>
        </w:tc>
        <w:tc>
          <w:tcPr>
            <w:tcW w:type="pct" w:w="12%"/>
            <w:shd w:fill="1F3864" w:val="clear"/>
          </w:tcPr>
          <w:p>
            <w:pPr>
              <w:spacing w:after="60" w:before="60"/>
            </w:pPr>
            <w:r>
              <w:rPr>
                <w:b/>
                <w:bCs/>
                <w:color w:val="FFFFFF"/>
                <w:sz w:val="20"/>
                <w:szCs w:val="20"/>
              </w:rPr>
              <w:t xml:space="preserve">Likelihood</w:t>
            </w:r>
          </w:p>
        </w:tc>
        <w:tc>
          <w:tcPr>
            <w:tcW w:type="pct" w:w="12%"/>
            <w:shd w:fill="1F3864" w:val="clear"/>
          </w:tcPr>
          <w:p>
            <w:pPr>
              <w:spacing w:after="60" w:before="60"/>
            </w:pPr>
            <w:r>
              <w:rPr>
                <w:b/>
                <w:bCs/>
                <w:color w:val="FFFFFF"/>
                <w:sz w:val="20"/>
                <w:szCs w:val="20"/>
              </w:rPr>
              <w:t xml:space="preserve">Impact</w:t>
            </w:r>
          </w:p>
        </w:tc>
        <w:tc>
          <w:tcPr>
            <w:tcW w:type="pct" w:w="46%"/>
            <w:shd w:fill="1F3864" w:val="clear"/>
          </w:tcPr>
          <w:p>
            <w:pPr>
              <w:spacing w:after="60" w:before="60"/>
            </w:pPr>
            <w:r>
              <w:rPr>
                <w:b/>
                <w:bCs/>
                <w:color w:val="FFFFFF"/>
                <w:sz w:val="20"/>
                <w:szCs w:val="20"/>
              </w:rPr>
              <w:t xml:space="preserve">Mitigation</w:t>
            </w:r>
          </w:p>
        </w:tc>
      </w:tr>
      <w:tr>
        <w:tc>
          <w:tcPr>
            <w:tcW w:type="pct" w:w="30%"/>
          </w:tcPr>
          <w:p>
            <w:pPr>
              <w:spacing w:after="60" w:before="60"/>
            </w:pPr>
            <w:r>
              <w:rPr>
                <w:b w:val="false"/>
                <w:bCs w:val="false"/>
                <w:color w:val="000000"/>
                <w:sz w:val="20"/>
                <w:szCs w:val="20"/>
              </w:rPr>
              <w:t xml:space="preserve">Database round-trip latency if app and DB are in different regions</w:t>
            </w:r>
          </w:p>
        </w:tc>
        <w:tc>
          <w:tcPr>
            <w:tcW w:type="pct" w:w="12%"/>
          </w:tcPr>
          <w:p>
            <w:pPr>
              <w:spacing w:after="60" w:before="60"/>
            </w:pPr>
            <w:r>
              <w:rPr>
                <w:b w:val="false"/>
                <w:bCs w:val="false"/>
                <w:color w:val="000000"/>
                <w:sz w:val="20"/>
                <w:szCs w:val="20"/>
              </w:rPr>
              <w:t xml:space="preserve">Medium</w:t>
            </w:r>
          </w:p>
        </w:tc>
        <w:tc>
          <w:tcPr>
            <w:tcW w:type="pct" w:w="12%"/>
          </w:tcPr>
          <w:p>
            <w:pPr>
              <w:spacing w:after="60" w:before="60"/>
            </w:pPr>
            <w:r>
              <w:rPr>
                <w:b w:val="false"/>
                <w:bCs w:val="false"/>
                <w:color w:val="000000"/>
                <w:sz w:val="20"/>
                <w:szCs w:val="20"/>
              </w:rPr>
              <w:t xml:space="preserve">User-perceived slowness</w:t>
            </w:r>
          </w:p>
        </w:tc>
        <w:tc>
          <w:tcPr>
            <w:tcW w:type="pct" w:w="46%"/>
          </w:tcPr>
          <w:p>
            <w:pPr>
              <w:spacing w:after="60" w:before="60"/>
            </w:pPr>
            <w:r>
              <w:rPr>
                <w:b w:val="false"/>
                <w:bCs w:val="false"/>
                <w:color w:val="000000"/>
                <w:sz w:val="20"/>
                <w:szCs w:val="20"/>
              </w:rPr>
              <w:t xml:space="preserve">Co-locate the DigitalOcean app and the Bank's database in the same geography. Use connection pooling.</w:t>
            </w:r>
          </w:p>
        </w:tc>
      </w:tr>
      <w:tr>
        <w:tc>
          <w:tcPr>
            <w:tcW w:type="pct" w:w="30%"/>
          </w:tcPr>
          <w:p>
            <w:pPr>
              <w:spacing w:after="60" w:before="60"/>
            </w:pPr>
            <w:r>
              <w:rPr>
                <w:b w:val="false"/>
                <w:bCs w:val="false"/>
                <w:color w:val="000000"/>
                <w:sz w:val="20"/>
                <w:szCs w:val="20"/>
              </w:rPr>
              <w:t xml:space="preserve">Bank's database firewall blocks Baarez egress IPs after IP rotation</w:t>
            </w:r>
          </w:p>
        </w:tc>
        <w:tc>
          <w:tcPr>
            <w:tcW w:type="pct" w:w="12%"/>
          </w:tcPr>
          <w:p>
            <w:pPr>
              <w:spacing w:after="60" w:before="60"/>
            </w:pPr>
            <w:r>
              <w:rPr>
                <w:b w:val="false"/>
                <w:bCs w:val="false"/>
                <w:color w:val="000000"/>
                <w:sz w:val="20"/>
                <w:szCs w:val="20"/>
              </w:rPr>
              <w:t xml:space="preserve">Medium</w:t>
            </w:r>
          </w:p>
        </w:tc>
        <w:tc>
          <w:tcPr>
            <w:tcW w:type="pct" w:w="12%"/>
          </w:tcPr>
          <w:p>
            <w:pPr>
              <w:spacing w:after="60" w:before="60"/>
            </w:pPr>
            <w:r>
              <w:rPr>
                <w:b w:val="false"/>
                <w:bCs w:val="false"/>
                <w:color w:val="000000"/>
                <w:sz w:val="20"/>
                <w:szCs w:val="20"/>
              </w:rPr>
              <w:t xml:space="preserve">Outage</w:t>
            </w:r>
          </w:p>
        </w:tc>
        <w:tc>
          <w:tcPr>
            <w:tcW w:type="pct" w:w="46%"/>
          </w:tcPr>
          <w:p>
            <w:pPr>
              <w:spacing w:after="60" w:before="60"/>
            </w:pPr>
            <w:r>
              <w:rPr>
                <w:b w:val="false"/>
                <w:bCs w:val="false"/>
                <w:color w:val="000000"/>
                <w:sz w:val="20"/>
                <w:szCs w:val="20"/>
              </w:rPr>
              <w:t xml:space="preserve">Use static outbound IPs in DO (if available) or a fixed NAT gateway. Document the IP range in the operational runbook.</w:t>
            </w:r>
          </w:p>
        </w:tc>
      </w:tr>
      <w:tr>
        <w:tc>
          <w:tcPr>
            <w:tcW w:type="pct" w:w="30%"/>
          </w:tcPr>
          <w:p>
            <w:pPr>
              <w:spacing w:after="60" w:before="60"/>
            </w:pPr>
            <w:r>
              <w:rPr>
                <w:b w:val="false"/>
                <w:bCs w:val="false"/>
                <w:color w:val="000000"/>
                <w:sz w:val="20"/>
                <w:szCs w:val="20"/>
              </w:rPr>
              <w:t xml:space="preserve">FIELD_ENCRYPTION_KEY compromised</w:t>
            </w:r>
          </w:p>
        </w:tc>
        <w:tc>
          <w:tcPr>
            <w:tcW w:type="pct" w:w="12%"/>
          </w:tcPr>
          <w:p>
            <w:pPr>
              <w:spacing w:after="60" w:before="60"/>
            </w:pPr>
            <w:r>
              <w:rPr>
                <w:b w:val="false"/>
                <w:bCs w:val="false"/>
                <w:color w:val="000000"/>
                <w:sz w:val="20"/>
                <w:szCs w:val="20"/>
              </w:rPr>
              <w:t xml:space="preserve">Low</w:t>
            </w:r>
          </w:p>
        </w:tc>
        <w:tc>
          <w:tcPr>
            <w:tcW w:type="pct" w:w="12%"/>
          </w:tcPr>
          <w:p>
            <w:pPr>
              <w:spacing w:after="60" w:before="60"/>
            </w:pPr>
            <w:r>
              <w:rPr>
                <w:b w:val="false"/>
                <w:bCs w:val="false"/>
                <w:color w:val="000000"/>
                <w:sz w:val="20"/>
                <w:szCs w:val="20"/>
              </w:rPr>
              <w:t xml:space="preserve">High</w:t>
            </w:r>
          </w:p>
        </w:tc>
        <w:tc>
          <w:tcPr>
            <w:tcW w:type="pct" w:w="46%"/>
          </w:tcPr>
          <w:p>
            <w:pPr>
              <w:spacing w:after="60" w:before="60"/>
            </w:pPr>
            <w:r>
              <w:rPr>
                <w:b w:val="false"/>
                <w:bCs w:val="false"/>
                <w:color w:val="000000"/>
                <w:sz w:val="20"/>
                <w:szCs w:val="20"/>
              </w:rPr>
              <w:t xml:space="preserve">Rotate every 90 days using npm run encrypt:rotate-key. Hold the master key inside DO encrypted env + sealed offline copy with Bank security team.</w:t>
            </w:r>
          </w:p>
        </w:tc>
      </w:tr>
      <w:tr>
        <w:tc>
          <w:tcPr>
            <w:tcW w:type="pct" w:w="30%"/>
          </w:tcPr>
          <w:p>
            <w:pPr>
              <w:spacing w:after="60" w:before="60"/>
            </w:pPr>
            <w:r>
              <w:rPr>
                <w:b w:val="false"/>
                <w:bCs w:val="false"/>
                <w:color w:val="000000"/>
                <w:sz w:val="20"/>
                <w:szCs w:val="20"/>
              </w:rPr>
              <w:t xml:space="preserve">Source code leak (insider, repo misconfiguration)</w:t>
            </w:r>
          </w:p>
        </w:tc>
        <w:tc>
          <w:tcPr>
            <w:tcW w:type="pct" w:w="12%"/>
          </w:tcPr>
          <w:p>
            <w:pPr>
              <w:spacing w:after="60" w:before="60"/>
            </w:pPr>
            <w:r>
              <w:rPr>
                <w:b w:val="false"/>
                <w:bCs w:val="false"/>
                <w:color w:val="000000"/>
                <w:sz w:val="20"/>
                <w:szCs w:val="20"/>
              </w:rPr>
              <w:t xml:space="preserve">Low</w:t>
            </w:r>
          </w:p>
        </w:tc>
        <w:tc>
          <w:tcPr>
            <w:tcW w:type="pct" w:w="12%"/>
          </w:tcPr>
          <w:p>
            <w:pPr>
              <w:spacing w:after="60" w:before="60"/>
            </w:pPr>
            <w:r>
              <w:rPr>
                <w:b w:val="false"/>
                <w:bCs w:val="false"/>
                <w:color w:val="000000"/>
                <w:sz w:val="20"/>
                <w:szCs w:val="20"/>
              </w:rPr>
              <w:t xml:space="preserve">High</w:t>
            </w:r>
          </w:p>
        </w:tc>
        <w:tc>
          <w:tcPr>
            <w:tcW w:type="pct" w:w="46%"/>
          </w:tcPr>
          <w:p>
            <w:pPr>
              <w:spacing w:after="60" w:before="60"/>
            </w:pPr>
            <w:r>
              <w:rPr>
                <w:b w:val="false"/>
                <w:bCs w:val="false"/>
                <w:color w:val="000000"/>
                <w:sz w:val="20"/>
                <w:szCs w:val="20"/>
              </w:rPr>
              <w:t xml:space="preserve">Repository remains private on GitHub; no public mirrors; least-privilege access; mandatory 2FA on Baarez GitHub org.</w:t>
            </w:r>
          </w:p>
        </w:tc>
      </w:tr>
      <w:tr>
        <w:tc>
          <w:tcPr>
            <w:tcW w:type="pct" w:w="30%"/>
          </w:tcPr>
          <w:p>
            <w:pPr>
              <w:spacing w:after="60" w:before="60"/>
            </w:pPr>
            <w:r>
              <w:rPr>
                <w:b w:val="false"/>
                <w:bCs w:val="false"/>
                <w:color w:val="000000"/>
                <w:sz w:val="20"/>
                <w:szCs w:val="20"/>
              </w:rPr>
              <w:t xml:space="preserve">Schema drift between branches</w:t>
            </w:r>
          </w:p>
        </w:tc>
        <w:tc>
          <w:tcPr>
            <w:tcW w:type="pct" w:w="12%"/>
          </w:tcPr>
          <w:p>
            <w:pPr>
              <w:spacing w:after="60" w:before="60"/>
            </w:pPr>
            <w:r>
              <w:rPr>
                <w:b w:val="false"/>
                <w:bCs w:val="false"/>
                <w:color w:val="000000"/>
                <w:sz w:val="20"/>
                <w:szCs w:val="20"/>
              </w:rPr>
              <w:t xml:space="preserve">Low</w:t>
            </w:r>
          </w:p>
        </w:tc>
        <w:tc>
          <w:tcPr>
            <w:tcW w:type="pct" w:w="12%"/>
          </w:tcPr>
          <w:p>
            <w:pPr>
              <w:spacing w:after="60" w:before="60"/>
            </w:pPr>
            <w:r>
              <w:rPr>
                <w:b w:val="false"/>
                <w:bCs w:val="false"/>
                <w:color w:val="000000"/>
                <w:sz w:val="20"/>
                <w:szCs w:val="20"/>
              </w:rPr>
              <w:t xml:space="preserve">Medium</w:t>
            </w:r>
          </w:p>
        </w:tc>
        <w:tc>
          <w:tcPr>
            <w:tcW w:type="pct" w:w="46%"/>
          </w:tcPr>
          <w:p>
            <w:pPr>
              <w:spacing w:after="60" w:before="60"/>
            </w:pPr>
            <w:r>
              <w:rPr>
                <w:b w:val="false"/>
                <w:bCs w:val="false"/>
                <w:color w:val="000000"/>
                <w:sz w:val="20"/>
                <w:szCs w:val="20"/>
              </w:rPr>
              <w:t xml:space="preserve">POC pinned to a Git tag, not a moving branch. Only reviewed migrations are deployed against the Bank database.</w:t>
            </w:r>
          </w:p>
        </w:tc>
      </w:tr>
      <w:tr>
        <w:tc>
          <w:tcPr>
            <w:tcW w:type="pct" w:w="30%"/>
          </w:tcPr>
          <w:p>
            <w:pPr>
              <w:spacing w:after="60" w:before="60"/>
            </w:pPr>
            <w:r>
              <w:rPr>
                <w:b w:val="false"/>
                <w:bCs w:val="false"/>
                <w:color w:val="000000"/>
                <w:sz w:val="20"/>
                <w:szCs w:val="20"/>
              </w:rPr>
              <w:t xml:space="preserve">Bank user accidentally granted GRCAdministrator role</w:t>
            </w:r>
          </w:p>
        </w:tc>
        <w:tc>
          <w:tcPr>
            <w:tcW w:type="pct" w:w="12%"/>
          </w:tcPr>
          <w:p>
            <w:pPr>
              <w:spacing w:after="60" w:before="60"/>
            </w:pPr>
            <w:r>
              <w:rPr>
                <w:b w:val="false"/>
                <w:bCs w:val="false"/>
                <w:color w:val="000000"/>
                <w:sz w:val="20"/>
                <w:szCs w:val="20"/>
              </w:rPr>
              <w:t xml:space="preserve">Low</w:t>
            </w:r>
          </w:p>
        </w:tc>
        <w:tc>
          <w:tcPr>
            <w:tcW w:type="pct" w:w="12%"/>
          </w:tcPr>
          <w:p>
            <w:pPr>
              <w:spacing w:after="60" w:before="60"/>
            </w:pPr>
            <w:r>
              <w:rPr>
                <w:b w:val="false"/>
                <w:bCs w:val="false"/>
                <w:color w:val="000000"/>
                <w:sz w:val="20"/>
                <w:szCs w:val="20"/>
              </w:rPr>
              <w:t xml:space="preserve">Medium</w:t>
            </w:r>
          </w:p>
        </w:tc>
        <w:tc>
          <w:tcPr>
            <w:tcW w:type="pct" w:w="46%"/>
          </w:tcPr>
          <w:p>
            <w:pPr>
              <w:spacing w:after="60" w:before="60"/>
            </w:pPr>
            <w:r>
              <w:rPr>
                <w:b w:val="false"/>
                <w:bCs w:val="false"/>
                <w:color w:val="000000"/>
                <w:sz w:val="20"/>
                <w:szCs w:val="20"/>
              </w:rPr>
              <w:t xml:space="preserve">Superadmin password and second factor stay with Bank's nominated owner. Audit log is on. RBAC matrix is documented and walked through at handover.</w:t>
            </w:r>
          </w:p>
        </w:tc>
      </w:tr>
    </w:tbl>
    <w:p>
      <w:pPr>
        <w:pStyle w:val="Heading1"/>
        <w:spacing w:after="200" w:before="360"/>
      </w:pPr>
      <w:r>
        <w:rPr>
          <w:b/>
          <w:bCs/>
          <w:color w:val="1F3864"/>
          <w:sz w:val="36"/>
          <w:szCs w:val="36"/>
        </w:rPr>
        <w:t xml:space="preserve">11. Cost &amp; Operational Responsibilities (POC Phase)</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rPr>
          <w:tblHeader/>
        </w:trPr>
        <w:tc>
          <w:tcPr>
            <w:tcW w:type="pct" w:w="35%"/>
            <w:shd w:fill="1F3864" w:val="clear"/>
          </w:tcPr>
          <w:p>
            <w:pPr>
              <w:spacing w:after="60" w:before="60"/>
            </w:pPr>
            <w:r>
              <w:rPr>
                <w:b/>
                <w:bCs/>
                <w:color w:val="FFFFFF"/>
                <w:sz w:val="20"/>
                <w:szCs w:val="20"/>
              </w:rPr>
              <w:t xml:space="preserve">Component</w:t>
            </w:r>
          </w:p>
        </w:tc>
        <w:tc>
          <w:tcPr>
            <w:tcW w:type="pct" w:w="20%"/>
            <w:shd w:fill="1F3864" w:val="clear"/>
          </w:tcPr>
          <w:p>
            <w:pPr>
              <w:spacing w:after="60" w:before="60"/>
            </w:pPr>
            <w:r>
              <w:rPr>
                <w:b/>
                <w:bCs/>
                <w:color w:val="FFFFFF"/>
                <w:sz w:val="20"/>
                <w:szCs w:val="20"/>
              </w:rPr>
              <w:t xml:space="preserve">Owner</w:t>
            </w:r>
          </w:p>
        </w:tc>
        <w:tc>
          <w:tcPr>
            <w:tcW w:type="pct" w:w="15%"/>
            <w:shd w:fill="1F3864" w:val="clear"/>
          </w:tcPr>
          <w:p>
            <w:pPr>
              <w:spacing w:after="60" w:before="60"/>
            </w:pPr>
            <w:r>
              <w:rPr>
                <w:b/>
                <w:bCs/>
                <w:color w:val="FFFFFF"/>
                <w:sz w:val="20"/>
                <w:szCs w:val="20"/>
              </w:rPr>
              <w:t xml:space="preserve">Cost owner</w:t>
            </w:r>
          </w:p>
        </w:tc>
        <w:tc>
          <w:tcPr>
            <w:tcW w:type="pct" w:w="30%"/>
            <w:shd w:fill="1F3864" w:val="clear"/>
          </w:tcPr>
          <w:p>
            <w:pPr>
              <w:spacing w:after="60" w:before="60"/>
            </w:pPr>
            <w:r>
              <w:rPr>
                <w:b/>
                <w:bCs/>
                <w:color w:val="FFFFFF"/>
                <w:sz w:val="20"/>
                <w:szCs w:val="20"/>
              </w:rPr>
              <w:t xml:space="preserve">Notes</w:t>
            </w:r>
          </w:p>
        </w:tc>
      </w:tr>
      <w:tr>
        <w:tc>
          <w:tcPr>
            <w:tcW w:type="pct" w:w="35%"/>
          </w:tcPr>
          <w:p>
            <w:pPr>
              <w:spacing w:after="60" w:before="60"/>
            </w:pPr>
            <w:r>
              <w:rPr>
                <w:b w:val="false"/>
                <w:bCs w:val="false"/>
                <w:color w:val="000000"/>
                <w:sz w:val="20"/>
                <w:szCs w:val="20"/>
              </w:rPr>
              <w:t xml:space="preserve">DigitalOcean App Platform hosting</w:t>
            </w:r>
          </w:p>
        </w:tc>
        <w:tc>
          <w:tcPr>
            <w:tcW w:type="pct" w:w="20%"/>
          </w:tcPr>
          <w:p>
            <w:pPr>
              <w:spacing w:after="60" w:before="60"/>
            </w:pPr>
            <w:r>
              <w:rPr>
                <w:b w:val="false"/>
                <w:bCs w:val="false"/>
                <w:color w:val="000000"/>
                <w:sz w:val="20"/>
                <w:szCs w:val="20"/>
              </w:rPr>
              <w:t xml:space="preserve">Baarez</w:t>
            </w:r>
          </w:p>
        </w:tc>
        <w:tc>
          <w:tcPr>
            <w:tcW w:type="pct" w:w="15%"/>
          </w:tcPr>
          <w:p>
            <w:pPr>
              <w:spacing w:after="60" w:before="60"/>
            </w:pPr>
            <w:r>
              <w:rPr>
                <w:b w:val="false"/>
                <w:bCs w:val="false"/>
                <w:color w:val="000000"/>
                <w:sz w:val="20"/>
                <w:szCs w:val="20"/>
              </w:rPr>
              <w:t xml:space="preserve">Baarez</w:t>
            </w:r>
          </w:p>
        </w:tc>
        <w:tc>
          <w:tcPr>
            <w:tcW w:type="pct" w:w="30%"/>
          </w:tcPr>
          <w:p>
            <w:pPr>
              <w:spacing w:after="60" w:before="60"/>
            </w:pPr>
            <w:r>
              <w:rPr>
                <w:b w:val="false"/>
                <w:bCs w:val="false"/>
                <w:color w:val="000000"/>
                <w:sz w:val="20"/>
                <w:szCs w:val="20"/>
              </w:rPr>
              <w:t xml:space="preserve">Included in POC engagement.</w:t>
            </w:r>
          </w:p>
        </w:tc>
      </w:tr>
      <w:tr>
        <w:tc>
          <w:tcPr>
            <w:tcW w:type="pct" w:w="35%"/>
          </w:tcPr>
          <w:p>
            <w:pPr>
              <w:spacing w:after="60" w:before="60"/>
            </w:pPr>
            <w:r>
              <w:rPr>
                <w:b w:val="false"/>
                <w:bCs w:val="false"/>
                <w:color w:val="000000"/>
                <w:sz w:val="20"/>
                <w:szCs w:val="20"/>
              </w:rPr>
              <w:t xml:space="preserve">PostgreSQL database</w:t>
            </w:r>
          </w:p>
        </w:tc>
        <w:tc>
          <w:tcPr>
            <w:tcW w:type="pct" w:w="20%"/>
          </w:tcPr>
          <w:p>
            <w:pPr>
              <w:spacing w:after="60" w:before="60"/>
            </w:pPr>
            <w:r>
              <w:rPr>
                <w:b w:val="false"/>
                <w:bCs w:val="false"/>
                <w:color w:val="000000"/>
                <w:sz w:val="20"/>
                <w:szCs w:val="20"/>
              </w:rPr>
              <w:t xml:space="preserve">Bank</w:t>
            </w:r>
          </w:p>
        </w:tc>
        <w:tc>
          <w:tcPr>
            <w:tcW w:type="pct" w:w="15%"/>
          </w:tcPr>
          <w:p>
            <w:pPr>
              <w:spacing w:after="60" w:before="60"/>
            </w:pPr>
            <w:r>
              <w:rPr>
                <w:b w:val="false"/>
                <w:bCs w:val="false"/>
                <w:color w:val="000000"/>
                <w:sz w:val="20"/>
                <w:szCs w:val="20"/>
              </w:rPr>
              <w:t xml:space="preserve">Bank</w:t>
            </w:r>
          </w:p>
        </w:tc>
        <w:tc>
          <w:tcPr>
            <w:tcW w:type="pct" w:w="30%"/>
          </w:tcPr>
          <w:p>
            <w:pPr>
              <w:spacing w:after="60" w:before="60"/>
            </w:pPr>
            <w:r>
              <w:rPr>
                <w:b w:val="false"/>
                <w:bCs w:val="false"/>
                <w:color w:val="000000"/>
                <w:sz w:val="20"/>
                <w:szCs w:val="20"/>
              </w:rPr>
              <w:t xml:space="preserve">Bank provisions and pays for its own database — keeps the data sovereign by design.</w:t>
            </w:r>
          </w:p>
        </w:tc>
      </w:tr>
      <w:tr>
        <w:tc>
          <w:tcPr>
            <w:tcW w:type="pct" w:w="35%"/>
          </w:tcPr>
          <w:p>
            <w:pPr>
              <w:spacing w:after="60" w:before="60"/>
            </w:pPr>
            <w:r>
              <w:rPr>
                <w:b w:val="false"/>
                <w:bCs w:val="false"/>
                <w:color w:val="000000"/>
                <w:sz w:val="20"/>
                <w:szCs w:val="20"/>
              </w:rPr>
              <w:t xml:space="preserve">Custom domain &amp; DNS</w:t>
            </w:r>
          </w:p>
        </w:tc>
        <w:tc>
          <w:tcPr>
            <w:tcW w:type="pct" w:w="20%"/>
          </w:tcPr>
          <w:p>
            <w:pPr>
              <w:spacing w:after="60" w:before="60"/>
            </w:pPr>
            <w:r>
              <w:rPr>
                <w:b w:val="false"/>
                <w:bCs w:val="false"/>
                <w:color w:val="000000"/>
                <w:sz w:val="20"/>
                <w:szCs w:val="20"/>
              </w:rPr>
              <w:t xml:space="preserve">Bank or Baarez</w:t>
            </w:r>
          </w:p>
        </w:tc>
        <w:tc>
          <w:tcPr>
            <w:tcW w:type="pct" w:w="15%"/>
          </w:tcPr>
          <w:p>
            <w:pPr>
              <w:spacing w:after="60" w:before="60"/>
            </w:pPr>
            <w:r>
              <w:rPr>
                <w:b w:val="false"/>
                <w:bCs w:val="false"/>
                <w:color w:val="000000"/>
                <w:sz w:val="20"/>
                <w:szCs w:val="20"/>
              </w:rPr>
              <w:t xml:space="preserve">Owner of the domain</w:t>
            </w:r>
          </w:p>
        </w:tc>
        <w:tc>
          <w:tcPr>
            <w:tcW w:type="pct" w:w="30%"/>
          </w:tcPr>
          <w:p>
            <w:pPr>
              <w:spacing w:after="60" w:before="60"/>
            </w:pPr>
            <w:r>
              <w:rPr>
                <w:b w:val="false"/>
                <w:bCs w:val="false"/>
                <w:color w:val="000000"/>
                <w:sz w:val="20"/>
                <w:szCs w:val="20"/>
              </w:rPr>
              <w:t xml:space="preserve">Negotiable; CNAME is the simplest option.</w:t>
            </w:r>
          </w:p>
        </w:tc>
      </w:tr>
      <w:tr>
        <w:tc>
          <w:tcPr>
            <w:tcW w:type="pct" w:w="35%"/>
          </w:tcPr>
          <w:p>
            <w:pPr>
              <w:spacing w:after="60" w:before="60"/>
            </w:pPr>
            <w:r>
              <w:rPr>
                <w:b w:val="false"/>
                <w:bCs w:val="false"/>
                <w:color w:val="000000"/>
                <w:sz w:val="20"/>
                <w:szCs w:val="20"/>
              </w:rPr>
              <w:t xml:space="preserve">TLS certificate</w:t>
            </w:r>
          </w:p>
        </w:tc>
        <w:tc>
          <w:tcPr>
            <w:tcW w:type="pct" w:w="20%"/>
          </w:tcPr>
          <w:p>
            <w:pPr>
              <w:spacing w:after="60" w:before="60"/>
            </w:pPr>
            <w:r>
              <w:rPr>
                <w:b w:val="false"/>
                <w:bCs w:val="false"/>
                <w:color w:val="000000"/>
                <w:sz w:val="20"/>
                <w:szCs w:val="20"/>
              </w:rPr>
              <w:t xml:space="preserve">DO Let's Encrypt</w:t>
            </w:r>
          </w:p>
        </w:tc>
        <w:tc>
          <w:tcPr>
            <w:tcW w:type="pct" w:w="15%"/>
          </w:tcPr>
          <w:p>
            <w:pPr>
              <w:spacing w:after="60" w:before="60"/>
            </w:pPr>
            <w:r>
              <w:rPr>
                <w:b w:val="false"/>
                <w:bCs w:val="false"/>
                <w:color w:val="000000"/>
                <w:sz w:val="20"/>
                <w:szCs w:val="20"/>
              </w:rPr>
              <w:t xml:space="preserve">Included</w:t>
            </w:r>
          </w:p>
        </w:tc>
        <w:tc>
          <w:tcPr>
            <w:tcW w:type="pct" w:w="30%"/>
          </w:tcPr>
          <w:p>
            <w:pPr>
              <w:spacing w:after="60" w:before="60"/>
            </w:pPr>
            <w:r>
              <w:rPr>
                <w:b w:val="false"/>
                <w:bCs w:val="false"/>
                <w:color w:val="000000"/>
                <w:sz w:val="20"/>
                <w:szCs w:val="20"/>
              </w:rPr>
              <w:t xml:space="preserve">Auto-renewing.</w:t>
            </w:r>
          </w:p>
        </w:tc>
      </w:tr>
      <w:tr>
        <w:tc>
          <w:tcPr>
            <w:tcW w:type="pct" w:w="35%"/>
          </w:tcPr>
          <w:p>
            <w:pPr>
              <w:spacing w:after="60" w:before="60"/>
            </w:pPr>
            <w:r>
              <w:rPr>
                <w:b w:val="false"/>
                <w:bCs w:val="false"/>
                <w:color w:val="000000"/>
                <w:sz w:val="20"/>
                <w:szCs w:val="20"/>
              </w:rPr>
              <w:t xml:space="preserve">Application logs &amp; monitoring</w:t>
            </w:r>
          </w:p>
        </w:tc>
        <w:tc>
          <w:tcPr>
            <w:tcW w:type="pct" w:w="20%"/>
          </w:tcPr>
          <w:p>
            <w:pPr>
              <w:spacing w:after="60" w:before="60"/>
            </w:pPr>
            <w:r>
              <w:rPr>
                <w:b w:val="false"/>
                <w:bCs w:val="false"/>
                <w:color w:val="000000"/>
                <w:sz w:val="20"/>
                <w:szCs w:val="20"/>
              </w:rPr>
              <w:t xml:space="preserve">Baarez</w:t>
            </w:r>
          </w:p>
        </w:tc>
        <w:tc>
          <w:tcPr>
            <w:tcW w:type="pct" w:w="15%"/>
          </w:tcPr>
          <w:p>
            <w:pPr>
              <w:spacing w:after="60" w:before="60"/>
            </w:pPr>
            <w:r>
              <w:rPr>
                <w:b w:val="false"/>
                <w:bCs w:val="false"/>
                <w:color w:val="000000"/>
                <w:sz w:val="20"/>
                <w:szCs w:val="20"/>
              </w:rPr>
              <w:t xml:space="preserve">Baarez</w:t>
            </w:r>
          </w:p>
        </w:tc>
        <w:tc>
          <w:tcPr>
            <w:tcW w:type="pct" w:w="30%"/>
          </w:tcPr>
          <w:p>
            <w:pPr>
              <w:spacing w:after="60" w:before="60"/>
            </w:pPr>
            <w:r>
              <w:rPr>
                <w:b w:val="false"/>
                <w:bCs w:val="false"/>
                <w:color w:val="000000"/>
                <w:sz w:val="20"/>
                <w:szCs w:val="20"/>
              </w:rPr>
              <w:t xml:space="preserve">Logs streamed to DigitalOcean log service.</w:t>
            </w:r>
          </w:p>
        </w:tc>
      </w:tr>
      <w:tr>
        <w:tc>
          <w:tcPr>
            <w:tcW w:type="pct" w:w="35%"/>
          </w:tcPr>
          <w:p>
            <w:pPr>
              <w:spacing w:after="60" w:before="60"/>
            </w:pPr>
            <w:r>
              <w:rPr>
                <w:b w:val="false"/>
                <w:bCs w:val="false"/>
                <w:color w:val="000000"/>
                <w:sz w:val="20"/>
                <w:szCs w:val="20"/>
              </w:rPr>
              <w:t xml:space="preserve">Database backups</w:t>
            </w:r>
          </w:p>
        </w:tc>
        <w:tc>
          <w:tcPr>
            <w:tcW w:type="pct" w:w="20%"/>
          </w:tcPr>
          <w:p>
            <w:pPr>
              <w:spacing w:after="60" w:before="60"/>
            </w:pPr>
            <w:r>
              <w:rPr>
                <w:b w:val="false"/>
                <w:bCs w:val="false"/>
                <w:color w:val="000000"/>
                <w:sz w:val="20"/>
                <w:szCs w:val="20"/>
              </w:rPr>
              <w:t xml:space="preserve">Bank</w:t>
            </w:r>
          </w:p>
        </w:tc>
        <w:tc>
          <w:tcPr>
            <w:tcW w:type="pct" w:w="15%"/>
          </w:tcPr>
          <w:p>
            <w:pPr>
              <w:spacing w:after="60" w:before="60"/>
            </w:pPr>
            <w:r>
              <w:rPr>
                <w:b w:val="false"/>
                <w:bCs w:val="false"/>
                <w:color w:val="000000"/>
                <w:sz w:val="20"/>
                <w:szCs w:val="20"/>
              </w:rPr>
              <w:t xml:space="preserve">Bank</w:t>
            </w:r>
          </w:p>
        </w:tc>
        <w:tc>
          <w:tcPr>
            <w:tcW w:type="pct" w:w="30%"/>
          </w:tcPr>
          <w:p>
            <w:pPr>
              <w:spacing w:after="60" w:before="60"/>
            </w:pPr>
            <w:r>
              <w:rPr>
                <w:b w:val="false"/>
                <w:bCs w:val="false"/>
                <w:color w:val="000000"/>
                <w:sz w:val="20"/>
                <w:szCs w:val="20"/>
              </w:rPr>
              <w:t xml:space="preserve">Baarez does not retain Bank data backups by design.</w:t>
            </w:r>
          </w:p>
        </w:tc>
      </w:tr>
      <w:tr>
        <w:tc>
          <w:tcPr>
            <w:tcW w:type="pct" w:w="35%"/>
          </w:tcPr>
          <w:p>
            <w:pPr>
              <w:spacing w:after="60" w:before="60"/>
            </w:pPr>
            <w:r>
              <w:rPr>
                <w:b w:val="false"/>
                <w:bCs w:val="false"/>
                <w:color w:val="000000"/>
                <w:sz w:val="20"/>
                <w:szCs w:val="20"/>
              </w:rPr>
              <w:t xml:space="preserve">Source-code backup / version control</w:t>
            </w:r>
          </w:p>
        </w:tc>
        <w:tc>
          <w:tcPr>
            <w:tcW w:type="pct" w:w="20%"/>
          </w:tcPr>
          <w:p>
            <w:pPr>
              <w:spacing w:after="60" w:before="60"/>
            </w:pPr>
            <w:r>
              <w:rPr>
                <w:b w:val="false"/>
                <w:bCs w:val="false"/>
                <w:color w:val="000000"/>
                <w:sz w:val="20"/>
                <w:szCs w:val="20"/>
              </w:rPr>
              <w:t xml:space="preserve">Baarez</w:t>
            </w:r>
          </w:p>
        </w:tc>
        <w:tc>
          <w:tcPr>
            <w:tcW w:type="pct" w:w="15%"/>
          </w:tcPr>
          <w:p>
            <w:pPr>
              <w:spacing w:after="60" w:before="60"/>
            </w:pPr>
            <w:r>
              <w:rPr>
                <w:b w:val="false"/>
                <w:bCs w:val="false"/>
                <w:color w:val="000000"/>
                <w:sz w:val="20"/>
                <w:szCs w:val="20"/>
              </w:rPr>
              <w:t xml:space="preserve">Baarez</w:t>
            </w:r>
          </w:p>
        </w:tc>
        <w:tc>
          <w:tcPr>
            <w:tcW w:type="pct" w:w="30%"/>
          </w:tcPr>
          <w:p>
            <w:pPr>
              <w:spacing w:after="60" w:before="60"/>
            </w:pPr>
            <w:r>
              <w:rPr>
                <w:b w:val="false"/>
                <w:bCs w:val="false"/>
                <w:color w:val="000000"/>
                <w:sz w:val="20"/>
                <w:szCs w:val="20"/>
              </w:rPr>
              <w:t xml:space="preserve">Private GitHub repository.</w:t>
            </w:r>
          </w:p>
        </w:tc>
      </w:tr>
      <w:tr>
        <w:tc>
          <w:tcPr>
            <w:tcW w:type="pct" w:w="35%"/>
          </w:tcPr>
          <w:p>
            <w:pPr>
              <w:spacing w:after="60" w:before="60"/>
            </w:pPr>
            <w:r>
              <w:rPr>
                <w:b w:val="false"/>
                <w:bCs w:val="false"/>
                <w:color w:val="000000"/>
                <w:sz w:val="20"/>
                <w:szCs w:val="20"/>
              </w:rPr>
              <w:t xml:space="preserve">POC support window</w:t>
            </w:r>
          </w:p>
        </w:tc>
        <w:tc>
          <w:tcPr>
            <w:tcW w:type="pct" w:w="20%"/>
          </w:tcPr>
          <w:p>
            <w:pPr>
              <w:spacing w:after="60" w:before="60"/>
            </w:pPr>
            <w:r>
              <w:rPr>
                <w:b w:val="false"/>
                <w:bCs w:val="false"/>
                <w:color w:val="000000"/>
                <w:sz w:val="20"/>
                <w:szCs w:val="20"/>
              </w:rPr>
              <w:t xml:space="preserve">Baarez</w:t>
            </w:r>
          </w:p>
        </w:tc>
        <w:tc>
          <w:tcPr>
            <w:tcW w:type="pct" w:w="15%"/>
          </w:tcPr>
          <w:p>
            <w:pPr>
              <w:spacing w:after="60" w:before="60"/>
            </w:pPr>
            <w:r>
              <w:rPr>
                <w:b w:val="false"/>
                <w:bCs w:val="false"/>
                <w:color w:val="000000"/>
                <w:sz w:val="20"/>
                <w:szCs w:val="20"/>
              </w:rPr>
              <w:t xml:space="preserve">Baarez</w:t>
            </w:r>
          </w:p>
        </w:tc>
        <w:tc>
          <w:tcPr>
            <w:tcW w:type="pct" w:w="30%"/>
          </w:tcPr>
          <w:p>
            <w:pPr>
              <w:spacing w:after="60" w:before="60"/>
            </w:pPr>
            <w:r>
              <w:rPr>
                <w:b w:val="false"/>
                <w:bCs w:val="false"/>
                <w:color w:val="000000"/>
                <w:sz w:val="20"/>
                <w:szCs w:val="20"/>
              </w:rPr>
              <w:t xml:space="preserve">Business-hours support during the POC; out-of-hours by agreement.</w:t>
            </w:r>
          </w:p>
        </w:tc>
      </w:tr>
    </w:tbl>
    <w:p>
      <w:r>
        <w:br w:type="page"/>
      </w:r>
    </w:p>
    <w:p>
      <w:pPr>
        <w:pStyle w:val="Heading1"/>
        <w:spacing w:after="200" w:before="360"/>
      </w:pPr>
      <w:r>
        <w:rPr>
          <w:b/>
          <w:bCs/>
          <w:color w:val="1F3864"/>
          <w:sz w:val="36"/>
          <w:szCs w:val="36"/>
        </w:rPr>
        <w:t xml:space="preserve">12. Suggested POC Acceptance Criteria</w:t>
      </w:r>
    </w:p>
    <w:p>
      <w:pPr>
        <w:spacing w:after="120"/>
      </w:pPr>
      <w:r>
        <w:rPr>
          <w:b w:val="false"/>
          <w:bCs w:val="false"/>
          <w:i w:val="false"/>
          <w:iCs w:val="false"/>
          <w:sz w:val="22"/>
          <w:szCs w:val="22"/>
        </w:rPr>
        <w:t xml:space="preserve">The following criteria are proposed for the Bank's POC sign-off. They are designed to be measurable, demonstrable, and achievable inside a typical 30-day window.</w:t>
      </w:r>
    </w:p>
    <w:p>
      <w:pPr>
        <w:pStyle w:val="ListParagraph"/>
        <w:numPr>
          <w:ilvl w:val="0"/>
          <w:numId w:val="1"/>
        </w:numPr>
        <w:spacing w:after="80"/>
      </w:pPr>
      <w:r>
        <w:rPr>
          <w:sz w:val="22"/>
          <w:szCs w:val="22"/>
        </w:rPr>
        <w:t xml:space="preserve">All four platforms (GRC, TPRM, Internal Audit, Technical Evidence) accessible from a single login.</w:t>
      </w:r>
    </w:p>
    <w:p>
      <w:pPr>
        <w:pStyle w:val="ListParagraph"/>
        <w:numPr>
          <w:ilvl w:val="0"/>
          <w:numId w:val="1"/>
        </w:numPr>
        <w:spacing w:after="80"/>
      </w:pPr>
      <w:r>
        <w:rPr>
          <w:sz w:val="22"/>
          <w:szCs w:val="22"/>
        </w:rPr>
        <w:t xml:space="preserve">CustomerAdministrator successfully onboards 25 representative Bank users across the agreed roles.</w:t>
      </w:r>
    </w:p>
    <w:p>
      <w:pPr>
        <w:pStyle w:val="ListParagraph"/>
        <w:numPr>
          <w:ilvl w:val="0"/>
          <w:numId w:val="1"/>
        </w:numPr>
        <w:spacing w:after="80"/>
      </w:pPr>
      <w:r>
        <w:rPr>
          <w:sz w:val="22"/>
          <w:szCs w:val="22"/>
        </w:rPr>
        <w:t xml:space="preserve">End-to-end flow demonstrated for Risk Register, Compliance Framework / Controls, Audit Engagement with CAPA, TPRM vendor assessment, and Technical Evidence upload.</w:t>
      </w:r>
    </w:p>
    <w:p>
      <w:pPr>
        <w:pStyle w:val="ListParagraph"/>
        <w:numPr>
          <w:ilvl w:val="0"/>
          <w:numId w:val="1"/>
        </w:numPr>
        <w:spacing w:after="80"/>
      </w:pPr>
      <w:r>
        <w:rPr>
          <w:sz w:val="22"/>
          <w:szCs w:val="22"/>
        </w:rPr>
        <w:t xml:space="preserve">File upload + encrypted retrieval verified against the Bank's database (psql byte-level inspection shows ciphertext header).</w:t>
      </w:r>
    </w:p>
    <w:p>
      <w:pPr>
        <w:pStyle w:val="ListParagraph"/>
        <w:numPr>
          <w:ilvl w:val="0"/>
          <w:numId w:val="1"/>
        </w:numPr>
        <w:spacing w:after="80"/>
      </w:pPr>
      <w:r>
        <w:rPr>
          <w:sz w:val="22"/>
          <w:szCs w:val="22"/>
        </w:rPr>
        <w:t xml:space="preserve">All connections to the database use sslmode=verify-full; verified with pg_stat_ssl.</w:t>
      </w:r>
    </w:p>
    <w:p>
      <w:pPr>
        <w:pStyle w:val="ListParagraph"/>
        <w:numPr>
          <w:ilvl w:val="0"/>
          <w:numId w:val="1"/>
        </w:numPr>
        <w:spacing w:after="80"/>
      </w:pPr>
      <w:r>
        <w:rPr>
          <w:sz w:val="22"/>
          <w:szCs w:val="22"/>
        </w:rPr>
        <w:t xml:space="preserve">RBAC matrix walked through; no unauthorized cross-tenant access (penetration test or independent review).</w:t>
      </w:r>
    </w:p>
    <w:p>
      <w:pPr>
        <w:pStyle w:val="ListParagraph"/>
        <w:numPr>
          <w:ilvl w:val="0"/>
          <w:numId w:val="1"/>
        </w:numPr>
        <w:spacing w:after="80"/>
      </w:pPr>
      <w:r>
        <w:rPr>
          <w:sz w:val="22"/>
          <w:szCs w:val="22"/>
        </w:rPr>
        <w:t xml:space="preserve">Application uptime ≥ 99% during the POC window.</w:t>
      </w:r>
    </w:p>
    <w:p>
      <w:pPr>
        <w:pStyle w:val="ListParagraph"/>
        <w:numPr>
          <w:ilvl w:val="0"/>
          <w:numId w:val="1"/>
        </w:numPr>
        <w:spacing w:after="80"/>
      </w:pPr>
      <w:r>
        <w:rPr>
          <w:sz w:val="22"/>
          <w:szCs w:val="22"/>
        </w:rPr>
        <w:t xml:space="preserve">Bank revoke-and-rotate drill: revoking the database user instantly cuts off Baarez access; no data residue is found on Baarez infrastructure.</w:t>
      </w:r>
    </w:p>
    <w:p>
      <w:pPr>
        <w:pStyle w:val="Heading1"/>
        <w:spacing w:after="200" w:before="360"/>
      </w:pPr>
      <w:r>
        <w:rPr>
          <w:b/>
          <w:bCs/>
          <w:color w:val="1F3864"/>
          <w:sz w:val="36"/>
          <w:szCs w:val="36"/>
        </w:rPr>
        <w:t xml:space="preserve">13. Post-POC Decision Tree</w:t>
      </w:r>
    </w:p>
    <w:p>
      <w:pPr>
        <w:pStyle w:val="ListParagraph"/>
        <w:numPr>
          <w:ilvl w:val="0"/>
          <w:numId w:val="1"/>
        </w:numPr>
        <w:spacing w:after="80"/>
      </w:pPr>
      <w:r>
        <w:rPr>
          <w:b/>
          <w:bCs/>
          <w:i w:val="false"/>
          <w:iCs w:val="false"/>
          <w:sz w:val="22"/>
          <w:szCs w:val="22"/>
        </w:rPr>
        <w:t xml:space="preserve">If POC is approved: </w:t>
      </w:r>
      <w:r>
        <w:rPr>
          <w:sz w:val="22"/>
          <w:szCs w:val="22"/>
        </w:rPr>
        <w:t xml:space="preserve">promote the application to a Production tier on DigitalOcean (HA, scaled instance count, DR site, monitoring SLAs); negotiate Option A or B depending on the Bank's hosting policy.</w:t>
      </w:r>
    </w:p>
    <w:p>
      <w:pPr>
        <w:pStyle w:val="ListParagraph"/>
        <w:numPr>
          <w:ilvl w:val="0"/>
          <w:numId w:val="1"/>
        </w:numPr>
        <w:spacing w:after="80"/>
      </w:pPr>
      <w:r>
        <w:rPr>
          <w:b/>
          <w:bCs/>
          <w:i w:val="false"/>
          <w:iCs w:val="false"/>
          <w:sz w:val="22"/>
          <w:szCs w:val="22"/>
        </w:rPr>
        <w:t xml:space="preserve">If Bank requires on-prem hosting: </w:t>
      </w:r>
      <w:r>
        <w:rPr>
          <w:sz w:val="22"/>
          <w:szCs w:val="22"/>
        </w:rPr>
        <w:t xml:space="preserve">switch to Option B — deliver a hardened Docker image and a self-hosting runbook; database stays where it is; application moves into the Bank's cloud account.</w:t>
      </w:r>
    </w:p>
    <w:p>
      <w:pPr>
        <w:pStyle w:val="ListParagraph"/>
        <w:numPr>
          <w:ilvl w:val="0"/>
          <w:numId w:val="1"/>
        </w:numPr>
        <w:spacing w:after="80"/>
      </w:pPr>
      <w:r>
        <w:rPr>
          <w:b/>
          <w:bCs/>
          <w:i w:val="false"/>
          <w:iCs w:val="false"/>
          <w:sz w:val="22"/>
          <w:szCs w:val="22"/>
        </w:rPr>
        <w:t xml:space="preserve">If Bank declines: </w:t>
      </w:r>
      <w:r>
        <w:rPr>
          <w:sz w:val="22"/>
          <w:szCs w:val="22"/>
        </w:rPr>
        <w:t xml:space="preserve">decommission the DigitalOcean app, rotate all secrets, archive the build artefact in Baarez's internal storage, and confirm to the Bank that no Bank data has been retained.</w:t>
      </w:r>
    </w:p>
    <w:p>
      <w:pPr>
        <w:pStyle w:val="Heading1"/>
        <w:spacing w:after="200" w:before="360"/>
      </w:pPr>
      <w:r>
        <w:rPr>
          <w:b/>
          <w:bCs/>
          <w:color w:val="1F3864"/>
          <w:sz w:val="36"/>
          <w:szCs w:val="36"/>
        </w:rPr>
        <w:t xml:space="preserve">14. Glossary</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tblGrid>
      <w:tr>
        <w:trPr>
          <w:tblHeader/>
        </w:trPr>
        <w:tc>
          <w:tcPr>
            <w:tcW w:type="pct" w:w="30%"/>
            <w:shd w:fill="1F3864" w:val="clear"/>
          </w:tcPr>
          <w:p>
            <w:pPr>
              <w:spacing w:after="60" w:before="60"/>
            </w:pPr>
            <w:r>
              <w:rPr>
                <w:b/>
                <w:bCs/>
                <w:color w:val="FFFFFF"/>
                <w:sz w:val="20"/>
                <w:szCs w:val="20"/>
              </w:rPr>
              <w:t xml:space="preserve">Term</w:t>
            </w:r>
          </w:p>
        </w:tc>
        <w:tc>
          <w:tcPr>
            <w:tcW w:type="pct" w:w="70%"/>
            <w:shd w:fill="1F3864" w:val="clear"/>
          </w:tcPr>
          <w:p>
            <w:pPr>
              <w:spacing w:after="60" w:before="60"/>
            </w:pPr>
            <w:r>
              <w:rPr>
                <w:b/>
                <w:bCs/>
                <w:color w:val="FFFFFF"/>
                <w:sz w:val="20"/>
                <w:szCs w:val="20"/>
              </w:rPr>
              <w:t xml:space="preserve">Meaning</w:t>
            </w:r>
          </w:p>
        </w:tc>
      </w:tr>
      <w:tr>
        <w:tc>
          <w:tcPr>
            <w:tcW w:type="pct" w:w="30%"/>
          </w:tcPr>
          <w:p>
            <w:pPr>
              <w:spacing w:after="60" w:before="60"/>
            </w:pPr>
            <w:r>
              <w:rPr>
                <w:b w:val="false"/>
                <w:bCs w:val="false"/>
                <w:color w:val="000000"/>
                <w:sz w:val="20"/>
                <w:szCs w:val="20"/>
              </w:rPr>
              <w:t xml:space="preserve">POC</w:t>
            </w:r>
          </w:p>
        </w:tc>
        <w:tc>
          <w:tcPr>
            <w:tcW w:type="pct" w:w="70%"/>
          </w:tcPr>
          <w:p>
            <w:pPr>
              <w:spacing w:after="60" w:before="60"/>
            </w:pPr>
            <w:r>
              <w:rPr>
                <w:b w:val="false"/>
                <w:bCs w:val="false"/>
                <w:color w:val="000000"/>
                <w:sz w:val="20"/>
                <w:szCs w:val="20"/>
              </w:rPr>
              <w:t xml:space="preserve">Proof of Concept — time-boxed evaluation deployment.</w:t>
            </w:r>
          </w:p>
        </w:tc>
      </w:tr>
      <w:tr>
        <w:tc>
          <w:tcPr>
            <w:tcW w:type="pct" w:w="30%"/>
          </w:tcPr>
          <w:p>
            <w:pPr>
              <w:spacing w:after="60" w:before="60"/>
            </w:pPr>
            <w:r>
              <w:rPr>
                <w:b w:val="false"/>
                <w:bCs w:val="false"/>
                <w:color w:val="000000"/>
                <w:sz w:val="20"/>
                <w:szCs w:val="20"/>
              </w:rPr>
              <w:t xml:space="preserve">GRC</w:t>
            </w:r>
          </w:p>
        </w:tc>
        <w:tc>
          <w:tcPr>
            <w:tcW w:type="pct" w:w="70%"/>
          </w:tcPr>
          <w:p>
            <w:pPr>
              <w:spacing w:after="60" w:before="60"/>
            </w:pPr>
            <w:r>
              <w:rPr>
                <w:b w:val="false"/>
                <w:bCs w:val="false"/>
                <w:color w:val="000000"/>
                <w:sz w:val="20"/>
                <w:szCs w:val="20"/>
              </w:rPr>
              <w:t xml:space="preserve">Governance, Risk and Compliance module.</w:t>
            </w:r>
          </w:p>
        </w:tc>
      </w:tr>
      <w:tr>
        <w:tc>
          <w:tcPr>
            <w:tcW w:type="pct" w:w="30%"/>
          </w:tcPr>
          <w:p>
            <w:pPr>
              <w:spacing w:after="60" w:before="60"/>
            </w:pPr>
            <w:r>
              <w:rPr>
                <w:b w:val="false"/>
                <w:bCs w:val="false"/>
                <w:color w:val="000000"/>
                <w:sz w:val="20"/>
                <w:szCs w:val="20"/>
              </w:rPr>
              <w:t xml:space="preserve">TPRM</w:t>
            </w:r>
          </w:p>
        </w:tc>
        <w:tc>
          <w:tcPr>
            <w:tcW w:type="pct" w:w="70%"/>
          </w:tcPr>
          <w:p>
            <w:pPr>
              <w:spacing w:after="60" w:before="60"/>
            </w:pPr>
            <w:r>
              <w:rPr>
                <w:b w:val="false"/>
                <w:bCs w:val="false"/>
                <w:color w:val="000000"/>
                <w:sz w:val="20"/>
                <w:szCs w:val="20"/>
              </w:rPr>
              <w:t xml:space="preserve">Third-Party Risk Management module.</w:t>
            </w:r>
          </w:p>
        </w:tc>
      </w:tr>
      <w:tr>
        <w:tc>
          <w:tcPr>
            <w:tcW w:type="pct" w:w="30%"/>
          </w:tcPr>
          <w:p>
            <w:pPr>
              <w:spacing w:after="60" w:before="60"/>
            </w:pPr>
            <w:r>
              <w:rPr>
                <w:b w:val="false"/>
                <w:bCs w:val="false"/>
                <w:color w:val="000000"/>
                <w:sz w:val="20"/>
                <w:szCs w:val="20"/>
              </w:rPr>
              <w:t xml:space="preserve">IA</w:t>
            </w:r>
          </w:p>
        </w:tc>
        <w:tc>
          <w:tcPr>
            <w:tcW w:type="pct" w:w="70%"/>
          </w:tcPr>
          <w:p>
            <w:pPr>
              <w:spacing w:after="60" w:before="60"/>
            </w:pPr>
            <w:r>
              <w:rPr>
                <w:b w:val="false"/>
                <w:bCs w:val="false"/>
                <w:color w:val="000000"/>
                <w:sz w:val="20"/>
                <w:szCs w:val="20"/>
              </w:rPr>
              <w:t xml:space="preserve">Internal Audit module.</w:t>
            </w:r>
          </w:p>
        </w:tc>
      </w:tr>
      <w:tr>
        <w:tc>
          <w:tcPr>
            <w:tcW w:type="pct" w:w="30%"/>
          </w:tcPr>
          <w:p>
            <w:pPr>
              <w:spacing w:after="60" w:before="60"/>
            </w:pPr>
            <w:r>
              <w:rPr>
                <w:b w:val="false"/>
                <w:bCs w:val="false"/>
                <w:color w:val="000000"/>
                <w:sz w:val="20"/>
                <w:szCs w:val="20"/>
              </w:rPr>
              <w:t xml:space="preserve">TE</w:t>
            </w:r>
          </w:p>
        </w:tc>
        <w:tc>
          <w:tcPr>
            <w:tcW w:type="pct" w:w="70%"/>
          </w:tcPr>
          <w:p>
            <w:pPr>
              <w:spacing w:after="60" w:before="60"/>
            </w:pPr>
            <w:r>
              <w:rPr>
                <w:b w:val="false"/>
                <w:bCs w:val="false"/>
                <w:color w:val="000000"/>
                <w:sz w:val="20"/>
                <w:szCs w:val="20"/>
              </w:rPr>
              <w:t xml:space="preserve">Technical Evidence module.</w:t>
            </w:r>
          </w:p>
        </w:tc>
      </w:tr>
      <w:tr>
        <w:tc>
          <w:tcPr>
            <w:tcW w:type="pct" w:w="30%"/>
          </w:tcPr>
          <w:p>
            <w:pPr>
              <w:spacing w:after="60" w:before="60"/>
            </w:pPr>
            <w:r>
              <w:rPr>
                <w:b w:val="false"/>
                <w:bCs w:val="false"/>
                <w:color w:val="000000"/>
                <w:sz w:val="20"/>
                <w:szCs w:val="20"/>
              </w:rPr>
              <w:t xml:space="preserve">App Platform</w:t>
            </w:r>
          </w:p>
        </w:tc>
        <w:tc>
          <w:tcPr>
            <w:tcW w:type="pct" w:w="70%"/>
          </w:tcPr>
          <w:p>
            <w:pPr>
              <w:spacing w:after="60" w:before="60"/>
            </w:pPr>
            <w:r>
              <w:rPr>
                <w:b w:val="false"/>
                <w:bCs w:val="false"/>
                <w:color w:val="000000"/>
                <w:sz w:val="20"/>
                <w:szCs w:val="20"/>
              </w:rPr>
              <w:t xml:space="preserve">DigitalOcean's managed PaaS used to run the Next.js application.</w:t>
            </w:r>
          </w:p>
        </w:tc>
      </w:tr>
      <w:tr>
        <w:tc>
          <w:tcPr>
            <w:tcW w:type="pct" w:w="30%"/>
          </w:tcPr>
          <w:p>
            <w:pPr>
              <w:spacing w:after="60" w:before="60"/>
            </w:pPr>
            <w:r>
              <w:rPr>
                <w:b w:val="false"/>
                <w:bCs w:val="false"/>
                <w:color w:val="000000"/>
                <w:sz w:val="20"/>
                <w:szCs w:val="20"/>
              </w:rPr>
              <w:t xml:space="preserve">Prisma</w:t>
            </w:r>
          </w:p>
        </w:tc>
        <w:tc>
          <w:tcPr>
            <w:tcW w:type="pct" w:w="70%"/>
          </w:tcPr>
          <w:p>
            <w:pPr>
              <w:spacing w:after="60" w:before="60"/>
            </w:pPr>
            <w:r>
              <w:rPr>
                <w:b w:val="false"/>
                <w:bCs w:val="false"/>
                <w:color w:val="000000"/>
                <w:sz w:val="20"/>
                <w:szCs w:val="20"/>
              </w:rPr>
              <w:t xml:space="preserve">TypeScript ORM used by the application to talk to PostgreSQL.</w:t>
            </w:r>
          </w:p>
        </w:tc>
      </w:tr>
      <w:tr>
        <w:tc>
          <w:tcPr>
            <w:tcW w:type="pct" w:w="30%"/>
          </w:tcPr>
          <w:p>
            <w:pPr>
              <w:spacing w:after="60" w:before="60"/>
            </w:pPr>
            <w:r>
              <w:rPr>
                <w:b w:val="false"/>
                <w:bCs w:val="false"/>
                <w:color w:val="000000"/>
                <w:sz w:val="20"/>
                <w:szCs w:val="20"/>
              </w:rPr>
              <w:t xml:space="preserve">TLS verify-full</w:t>
            </w:r>
          </w:p>
        </w:tc>
        <w:tc>
          <w:tcPr>
            <w:tcW w:type="pct" w:w="70%"/>
          </w:tcPr>
          <w:p>
            <w:pPr>
              <w:spacing w:after="60" w:before="60"/>
            </w:pPr>
            <w:r>
              <w:rPr>
                <w:b w:val="false"/>
                <w:bCs w:val="false"/>
                <w:color w:val="000000"/>
                <w:sz w:val="20"/>
                <w:szCs w:val="20"/>
              </w:rPr>
              <w:t xml:space="preserve">Strictest TLS mode — verifies the database server's hostname and certificate chain against a known CA.</w:t>
            </w:r>
          </w:p>
        </w:tc>
      </w:tr>
      <w:tr>
        <w:tc>
          <w:tcPr>
            <w:tcW w:type="pct" w:w="30%"/>
          </w:tcPr>
          <w:p>
            <w:pPr>
              <w:spacing w:after="60" w:before="60"/>
            </w:pPr>
            <w:r>
              <w:rPr>
                <w:b w:val="false"/>
                <w:bCs w:val="false"/>
                <w:color w:val="000000"/>
                <w:sz w:val="20"/>
                <w:szCs w:val="20"/>
              </w:rPr>
              <w:t xml:space="preserve">AES-256-GCM</w:t>
            </w:r>
          </w:p>
        </w:tc>
        <w:tc>
          <w:tcPr>
            <w:tcW w:type="pct" w:w="70%"/>
          </w:tcPr>
          <w:p>
            <w:pPr>
              <w:spacing w:after="60" w:before="60"/>
            </w:pPr>
            <w:r>
              <w:rPr>
                <w:b w:val="false"/>
                <w:bCs w:val="false"/>
                <w:color w:val="000000"/>
                <w:sz w:val="20"/>
                <w:szCs w:val="20"/>
              </w:rPr>
              <w:t xml:space="preserve">Authenticated symmetric cipher used for application-layer field encryption of high-value blobs.</w:t>
            </w:r>
          </w:p>
        </w:tc>
      </w:tr>
      <w:tr>
        <w:tc>
          <w:tcPr>
            <w:tcW w:type="pct" w:w="30%"/>
          </w:tcPr>
          <w:p>
            <w:pPr>
              <w:spacing w:after="60" w:before="60"/>
            </w:pPr>
            <w:r>
              <w:rPr>
                <w:b w:val="false"/>
                <w:bCs w:val="false"/>
                <w:color w:val="000000"/>
                <w:sz w:val="20"/>
                <w:szCs w:val="20"/>
              </w:rPr>
              <w:t xml:space="preserve">CustomerAccount</w:t>
            </w:r>
          </w:p>
        </w:tc>
        <w:tc>
          <w:tcPr>
            <w:tcW w:type="pct" w:w="70%"/>
          </w:tcPr>
          <w:p>
            <w:pPr>
              <w:spacing w:after="60" w:before="60"/>
            </w:pPr>
            <w:r>
              <w:rPr>
                <w:b w:val="false"/>
                <w:bCs w:val="false"/>
                <w:color w:val="000000"/>
                <w:sz w:val="20"/>
                <w:szCs w:val="20"/>
              </w:rPr>
              <w:t xml:space="preserve">Multi-tenant root entity. In the POC there is exactly one — the Bank.</w:t>
            </w:r>
          </w:p>
        </w:tc>
      </w:tr>
      <w:tr>
        <w:tc>
          <w:tcPr>
            <w:tcW w:type="pct" w:w="30%"/>
          </w:tcPr>
          <w:p>
            <w:pPr>
              <w:spacing w:after="60" w:before="60"/>
            </w:pPr>
            <w:r>
              <w:rPr>
                <w:b w:val="false"/>
                <w:bCs w:val="false"/>
                <w:color w:val="000000"/>
                <w:sz w:val="20"/>
                <w:szCs w:val="20"/>
              </w:rPr>
              <w:t xml:space="preserve">GRCAdministrator</w:t>
            </w:r>
          </w:p>
        </w:tc>
        <w:tc>
          <w:tcPr>
            <w:tcW w:type="pct" w:w="70%"/>
          </w:tcPr>
          <w:p>
            <w:pPr>
              <w:spacing w:after="60" w:before="60"/>
            </w:pPr>
            <w:r>
              <w:rPr>
                <w:b w:val="false"/>
                <w:bCs w:val="false"/>
                <w:color w:val="000000"/>
                <w:sz w:val="20"/>
                <w:szCs w:val="20"/>
              </w:rPr>
              <w:t xml:space="preserve">System-level superadmin role used by Baarez during initial setup; rotated to Bank ownership at handover.</w:t>
            </w:r>
          </w:p>
        </w:tc>
      </w:tr>
    </w:tbl>
    <w:p>
      <w:pPr>
        <w:pStyle w:val="Heading1"/>
        <w:spacing w:after="200" w:before="360"/>
      </w:pPr>
      <w:r>
        <w:rPr>
          <w:b/>
          <w:bCs/>
          <w:color w:val="1F3864"/>
          <w:sz w:val="36"/>
          <w:szCs w:val="36"/>
        </w:rPr>
        <w:t xml:space="preserve">15. Appendix — Reference Configuration Values</w:t>
      </w:r>
    </w:p>
    <w:p>
      <w:pPr>
        <w:pStyle w:val="Heading2"/>
        <w:spacing w:after="140" w:before="280"/>
      </w:pPr>
      <w:r>
        <w:rPr>
          <w:b/>
          <w:bCs/>
          <w:color w:val="2E74B5"/>
          <w:sz w:val="28"/>
          <w:szCs w:val="28"/>
        </w:rPr>
        <w:t xml:space="preserve">A1. Required Environment Variables</w:t>
      </w:r>
    </w:p>
    <w:p>
      <w:pPr>
        <w:shd w:fill="F2F2F2" w:val="clear"/>
        <w:spacing w:after="120" w:before="80"/>
      </w:pPr>
      <w:r>
        <w:rPr>
          <w:rFonts w:ascii="Consolas" w:cs="Consolas" w:eastAsia="Consolas" w:hAnsi="Consolas"/>
          <w:sz w:val="20"/>
          <w:szCs w:val="20"/>
        </w:rPr>
        <w:t xml:space="preserve"># Database
DATABASE_URL=postgresql://USER:PASS@HOST:5432/DB?sslmode=verify-full
DB_CA_CERT="-----BEGIN CERTIFICATE-----
...full PEM content...
-----END CERTIFICATE-----"
# Authentication
AUTH_SECRET=&lt;openssl rand -base64 32&gt;
# Field-level encryption
ENCRYPTION_ENABLED=true
FIELD_ENCRYPTION_KEY=&lt;base64-32-bytes&gt;
# Public URL of the POC
NEXT_PUBLIC_APP_URL=https://grc-poc.bankname.com</w:t>
      </w:r>
    </w:p>
    <w:p>
      <w:pPr>
        <w:pStyle w:val="Heading2"/>
        <w:spacing w:after="140" w:before="280"/>
      </w:pPr>
      <w:r>
        <w:rPr>
          <w:b/>
          <w:bCs/>
          <w:color w:val="2E74B5"/>
          <w:sz w:val="28"/>
          <w:szCs w:val="28"/>
        </w:rPr>
        <w:t xml:space="preserve">A2. Initial Schema and Seed Commands</w:t>
      </w:r>
    </w:p>
    <w:p>
      <w:pPr>
        <w:shd w:fill="F2F2F2" w:val="clear"/>
        <w:spacing w:after="120" w:before="80"/>
      </w:pPr>
      <w:r>
        <w:rPr>
          <w:rFonts w:ascii="Consolas" w:cs="Consolas" w:eastAsia="Consolas" w:hAnsi="Consolas"/>
          <w:sz w:val="20"/>
          <w:szCs w:val="20"/>
        </w:rPr>
        <w:t xml:space="preserve"># 1. Apply schema to the empty Bank database
DATABASE_URL="&lt;bank-db-url&gt;" npx prisma migrate deploy
# 2. Seed superadmin + master data
DATABASE_URL="&lt;bank-db-url&gt;" npm run db:seed
# 3. (Optional) Migrate existing rows to encrypted storage
DATABASE_URL="&lt;bank-db-url&gt;" npm run encrypt:migrate
# 4. Verify encryption is end-to-end
DATABASE_URL="&lt;bank-db-url&gt;" npm run encrypt:verify</w:t>
      </w:r>
    </w:p>
    <w:p>
      <w:pPr>
        <w:pStyle w:val="Heading2"/>
        <w:spacing w:after="140" w:before="280"/>
      </w:pPr>
      <w:r>
        <w:rPr>
          <w:b/>
          <w:bCs/>
          <w:color w:val="2E74B5"/>
          <w:sz w:val="28"/>
          <w:szCs w:val="28"/>
        </w:rPr>
        <w:t xml:space="preserve">A3. Verifying TLS at the Database</w:t>
      </w:r>
    </w:p>
    <w:p>
      <w:pPr>
        <w:shd w:fill="F2F2F2" w:val="clear"/>
        <w:spacing w:after="120" w:before="80"/>
      </w:pPr>
      <w:r>
        <w:rPr>
          <w:rFonts w:ascii="Consolas" w:cs="Consolas" w:eastAsia="Consolas" w:hAnsi="Consolas"/>
          <w:sz w:val="20"/>
          <w:szCs w:val="20"/>
        </w:rPr>
        <w:t xml:space="preserve">-- Run inside the Bank's PostgreSQL after Baarez app is live:
SELECT pid, usename, ssl, version, cipher
FROM   pg_stat_ssl ssl
JOIN   pg_stat_activity act USING (pid)
WHERE  usename = 'baarez_app_user';
-- Expected: ssl=t, version=TLSv1.3 (or TLSv1.2), cipher non-null</w:t>
      </w:r>
    </w:p>
    <w:p>
      <w:r>
        <w:t xml:space="preserve"/>
      </w:r>
    </w:p>
    <w:p>
      <w:r>
        <w:t xml:space="preserve"/>
      </w:r>
    </w:p>
    <w:p>
      <w:pPr>
        <w:pStyle w:val="Heading2"/>
        <w:spacing w:after="140" w:before="280"/>
      </w:pPr>
      <w:r>
        <w:rPr>
          <w:b/>
          <w:bCs/>
          <w:color w:val="2E74B5"/>
          <w:sz w:val="28"/>
          <w:szCs w:val="28"/>
        </w:rPr>
        <w:t xml:space="preserve">Document Sign-off</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rPr>
          <w:tblHeader/>
        </w:trPr>
        <w:tc>
          <w:tcPr>
            <w:tcW w:type="pct" w:w="30%"/>
            <w:shd w:fill="1F3864" w:val="clear"/>
          </w:tcPr>
          <w:p>
            <w:pPr>
              <w:spacing w:after="60" w:before="60"/>
            </w:pPr>
            <w:r>
              <w:rPr>
                <w:b/>
                <w:bCs/>
                <w:color w:val="FFFFFF"/>
                <w:sz w:val="20"/>
                <w:szCs w:val="20"/>
              </w:rPr>
              <w:t xml:space="preserve">Role</w:t>
            </w:r>
          </w:p>
        </w:tc>
        <w:tc>
          <w:tcPr>
            <w:tcW w:type="pct" w:w="25%"/>
            <w:shd w:fill="1F3864" w:val="clear"/>
          </w:tcPr>
          <w:p>
            <w:pPr>
              <w:spacing w:after="60" w:before="60"/>
            </w:pPr>
            <w:r>
              <w:rPr>
                <w:b/>
                <w:bCs/>
                <w:color w:val="FFFFFF"/>
                <w:sz w:val="20"/>
                <w:szCs w:val="20"/>
              </w:rPr>
              <w:t xml:space="preserve">Name</w:t>
            </w:r>
          </w:p>
        </w:tc>
        <w:tc>
          <w:tcPr>
            <w:tcW w:type="pct" w:w="25%"/>
            <w:shd w:fill="1F3864" w:val="clear"/>
          </w:tcPr>
          <w:p>
            <w:pPr>
              <w:spacing w:after="60" w:before="60"/>
            </w:pPr>
            <w:r>
              <w:rPr>
                <w:b/>
                <w:bCs/>
                <w:color w:val="FFFFFF"/>
                <w:sz w:val="20"/>
                <w:szCs w:val="20"/>
              </w:rPr>
              <w:t xml:space="preserve">Signature</w:t>
            </w:r>
          </w:p>
        </w:tc>
        <w:tc>
          <w:tcPr>
            <w:tcW w:type="pct" w:w="20%"/>
            <w:shd w:fill="1F3864" w:val="clear"/>
          </w:tcPr>
          <w:p>
            <w:pPr>
              <w:spacing w:after="60" w:before="60"/>
            </w:pPr>
            <w:r>
              <w:rPr>
                <w:b/>
                <w:bCs/>
                <w:color w:val="FFFFFF"/>
                <w:sz w:val="20"/>
                <w:szCs w:val="20"/>
              </w:rPr>
              <w:t xml:space="preserve">Date</w:t>
            </w:r>
          </w:p>
        </w:tc>
      </w:tr>
      <w:tr>
        <w:tc>
          <w:tcPr>
            <w:tcW w:type="pct" w:w="30%"/>
          </w:tcPr>
          <w:p>
            <w:pPr>
              <w:spacing w:after="60" w:before="60"/>
            </w:pPr>
            <w:r>
              <w:rPr>
                <w:b w:val="false"/>
                <w:bCs w:val="false"/>
                <w:color w:val="000000"/>
                <w:sz w:val="20"/>
                <w:szCs w:val="20"/>
              </w:rPr>
              <w:t xml:space="preserve">Baarez Engineering Lead</w:t>
            </w:r>
          </w:p>
        </w:tc>
        <w:tc>
          <w:tcPr>
            <w:tcW w:type="pct" w:w="25%"/>
          </w:tcPr>
          <w:p>
            <w:pPr>
              <w:spacing w:after="60" w:before="60"/>
            </w:pPr>
            <w:r>
              <w:rPr>
                <w:b w:val="false"/>
                <w:bCs w:val="false"/>
                <w:color w:val="000000"/>
                <w:sz w:val="20"/>
                <w:szCs w:val="20"/>
              </w:rPr>
              <w:t xml:space="preserve"/>
            </w:r>
          </w:p>
        </w:tc>
        <w:tc>
          <w:tcPr>
            <w:tcW w:type="pct" w:w="25%"/>
          </w:tcPr>
          <w:p>
            <w:pPr>
              <w:spacing w:after="60" w:before="60"/>
            </w:pPr>
            <w:r>
              <w:rPr>
                <w:b w:val="false"/>
                <w:bCs w:val="false"/>
                <w:color w:val="000000"/>
                <w:sz w:val="20"/>
                <w:szCs w:val="20"/>
              </w:rPr>
              <w:t xml:space="preserve"/>
            </w:r>
          </w:p>
        </w:tc>
        <w:tc>
          <w:tcPr>
            <w:tcW w:type="pct" w:w="20%"/>
          </w:tcPr>
          <w:p>
            <w:pPr>
              <w:spacing w:after="60" w:before="60"/>
            </w:pPr>
            <w:r>
              <w:rPr>
                <w:b w:val="false"/>
                <w:bCs w:val="false"/>
                <w:color w:val="000000"/>
                <w:sz w:val="20"/>
                <w:szCs w:val="20"/>
              </w:rPr>
              <w:t xml:space="preserve"/>
            </w:r>
          </w:p>
        </w:tc>
      </w:tr>
      <w:tr>
        <w:tc>
          <w:tcPr>
            <w:tcW w:type="pct" w:w="30%"/>
          </w:tcPr>
          <w:p>
            <w:pPr>
              <w:spacing w:after="60" w:before="60"/>
            </w:pPr>
            <w:r>
              <w:rPr>
                <w:b w:val="false"/>
                <w:bCs w:val="false"/>
                <w:color w:val="000000"/>
                <w:sz w:val="20"/>
                <w:szCs w:val="20"/>
              </w:rPr>
              <w:t xml:space="preserve">Baarez Account Owner</w:t>
            </w:r>
          </w:p>
        </w:tc>
        <w:tc>
          <w:tcPr>
            <w:tcW w:type="pct" w:w="25%"/>
          </w:tcPr>
          <w:p>
            <w:pPr>
              <w:spacing w:after="60" w:before="60"/>
            </w:pPr>
            <w:r>
              <w:rPr>
                <w:b w:val="false"/>
                <w:bCs w:val="false"/>
                <w:color w:val="000000"/>
                <w:sz w:val="20"/>
                <w:szCs w:val="20"/>
              </w:rPr>
              <w:t xml:space="preserve"/>
            </w:r>
          </w:p>
        </w:tc>
        <w:tc>
          <w:tcPr>
            <w:tcW w:type="pct" w:w="25%"/>
          </w:tcPr>
          <w:p>
            <w:pPr>
              <w:spacing w:after="60" w:before="60"/>
            </w:pPr>
            <w:r>
              <w:rPr>
                <w:b w:val="false"/>
                <w:bCs w:val="false"/>
                <w:color w:val="000000"/>
                <w:sz w:val="20"/>
                <w:szCs w:val="20"/>
              </w:rPr>
              <w:t xml:space="preserve"/>
            </w:r>
          </w:p>
        </w:tc>
        <w:tc>
          <w:tcPr>
            <w:tcW w:type="pct" w:w="20%"/>
          </w:tcPr>
          <w:p>
            <w:pPr>
              <w:spacing w:after="60" w:before="60"/>
            </w:pPr>
            <w:r>
              <w:rPr>
                <w:b w:val="false"/>
                <w:bCs w:val="false"/>
                <w:color w:val="000000"/>
                <w:sz w:val="20"/>
                <w:szCs w:val="20"/>
              </w:rPr>
              <w:t xml:space="preserve"/>
            </w:r>
          </w:p>
        </w:tc>
      </w:tr>
      <w:tr>
        <w:tc>
          <w:tcPr>
            <w:tcW w:type="pct" w:w="30%"/>
          </w:tcPr>
          <w:p>
            <w:pPr>
              <w:spacing w:after="60" w:before="60"/>
            </w:pPr>
            <w:r>
              <w:rPr>
                <w:b w:val="false"/>
                <w:bCs w:val="false"/>
                <w:color w:val="000000"/>
                <w:sz w:val="20"/>
                <w:szCs w:val="20"/>
              </w:rPr>
              <w:t xml:space="preserve">Bank POC Sponsor</w:t>
            </w:r>
          </w:p>
        </w:tc>
        <w:tc>
          <w:tcPr>
            <w:tcW w:type="pct" w:w="25%"/>
          </w:tcPr>
          <w:p>
            <w:pPr>
              <w:spacing w:after="60" w:before="60"/>
            </w:pPr>
            <w:r>
              <w:rPr>
                <w:b w:val="false"/>
                <w:bCs w:val="false"/>
                <w:color w:val="000000"/>
                <w:sz w:val="20"/>
                <w:szCs w:val="20"/>
              </w:rPr>
              <w:t xml:space="preserve"/>
            </w:r>
          </w:p>
        </w:tc>
        <w:tc>
          <w:tcPr>
            <w:tcW w:type="pct" w:w="25%"/>
          </w:tcPr>
          <w:p>
            <w:pPr>
              <w:spacing w:after="60" w:before="60"/>
            </w:pPr>
            <w:r>
              <w:rPr>
                <w:b w:val="false"/>
                <w:bCs w:val="false"/>
                <w:color w:val="000000"/>
                <w:sz w:val="20"/>
                <w:szCs w:val="20"/>
              </w:rPr>
              <w:t xml:space="preserve"/>
            </w:r>
          </w:p>
        </w:tc>
        <w:tc>
          <w:tcPr>
            <w:tcW w:type="pct" w:w="20%"/>
          </w:tcPr>
          <w:p>
            <w:pPr>
              <w:spacing w:after="60" w:before="60"/>
            </w:pPr>
            <w:r>
              <w:rPr>
                <w:b w:val="false"/>
                <w:bCs w:val="false"/>
                <w:color w:val="000000"/>
                <w:sz w:val="20"/>
                <w:szCs w:val="20"/>
              </w:rPr>
              <w:t xml:space="preserve"/>
            </w:r>
          </w:p>
        </w:tc>
      </w:tr>
      <w:tr>
        <w:tc>
          <w:tcPr>
            <w:tcW w:type="pct" w:w="30%"/>
          </w:tcPr>
          <w:p>
            <w:pPr>
              <w:spacing w:after="60" w:before="60"/>
            </w:pPr>
            <w:r>
              <w:rPr>
                <w:b w:val="false"/>
                <w:bCs w:val="false"/>
                <w:color w:val="000000"/>
                <w:sz w:val="20"/>
                <w:szCs w:val="20"/>
              </w:rPr>
              <w:t xml:space="preserve">Bank Information Security</w:t>
            </w:r>
          </w:p>
        </w:tc>
        <w:tc>
          <w:tcPr>
            <w:tcW w:type="pct" w:w="25%"/>
          </w:tcPr>
          <w:p>
            <w:pPr>
              <w:spacing w:after="60" w:before="60"/>
            </w:pPr>
            <w:r>
              <w:rPr>
                <w:b w:val="false"/>
                <w:bCs w:val="false"/>
                <w:color w:val="000000"/>
                <w:sz w:val="20"/>
                <w:szCs w:val="20"/>
              </w:rPr>
              <w:t xml:space="preserve"/>
            </w:r>
          </w:p>
        </w:tc>
        <w:tc>
          <w:tcPr>
            <w:tcW w:type="pct" w:w="25%"/>
          </w:tcPr>
          <w:p>
            <w:pPr>
              <w:spacing w:after="60" w:before="60"/>
            </w:pPr>
            <w:r>
              <w:rPr>
                <w:b w:val="false"/>
                <w:bCs w:val="false"/>
                <w:color w:val="000000"/>
                <w:sz w:val="20"/>
                <w:szCs w:val="20"/>
              </w:rPr>
              <w:t xml:space="preserve"/>
            </w:r>
          </w:p>
        </w:tc>
        <w:tc>
          <w:tcPr>
            <w:tcW w:type="pct" w:w="20%"/>
          </w:tcPr>
          <w:p>
            <w:pPr>
              <w:spacing w:after="60" w:before="60"/>
            </w:pPr>
            <w:r>
              <w:rPr>
                <w:b w:val="false"/>
                <w:bCs w:val="false"/>
                <w:color w:val="000000"/>
                <w:sz w:val="20"/>
                <w:szCs w:val="20"/>
              </w:rPr>
              <w:t xml:space="preserve"/>
            </w:r>
          </w:p>
        </w:tc>
      </w:tr>
      <w:tr>
        <w:tc>
          <w:tcPr>
            <w:tcW w:type="pct" w:w="30%"/>
          </w:tcPr>
          <w:p>
            <w:pPr>
              <w:spacing w:after="60" w:before="60"/>
            </w:pPr>
            <w:r>
              <w:rPr>
                <w:b w:val="false"/>
                <w:bCs w:val="false"/>
                <w:color w:val="000000"/>
                <w:sz w:val="20"/>
                <w:szCs w:val="20"/>
              </w:rPr>
              <w:t xml:space="preserve">Bank Database Administrator</w:t>
            </w:r>
          </w:p>
        </w:tc>
        <w:tc>
          <w:tcPr>
            <w:tcW w:type="pct" w:w="25%"/>
          </w:tcPr>
          <w:p>
            <w:pPr>
              <w:spacing w:after="60" w:before="60"/>
            </w:pPr>
            <w:r>
              <w:rPr>
                <w:b w:val="false"/>
                <w:bCs w:val="false"/>
                <w:color w:val="000000"/>
                <w:sz w:val="20"/>
                <w:szCs w:val="20"/>
              </w:rPr>
              <w:t xml:space="preserve"/>
            </w:r>
          </w:p>
        </w:tc>
        <w:tc>
          <w:tcPr>
            <w:tcW w:type="pct" w:w="25%"/>
          </w:tcPr>
          <w:p>
            <w:pPr>
              <w:spacing w:after="60" w:before="60"/>
            </w:pPr>
            <w:r>
              <w:rPr>
                <w:b w:val="false"/>
                <w:bCs w:val="false"/>
                <w:color w:val="000000"/>
                <w:sz w:val="20"/>
                <w:szCs w:val="20"/>
              </w:rPr>
              <w:t xml:space="preserve"/>
            </w:r>
          </w:p>
        </w:tc>
        <w:tc>
          <w:tcPr>
            <w:tcW w:type="pct" w:w="20%"/>
          </w:tcPr>
          <w:p>
            <w:pPr>
              <w:spacing w:after="60" w:before="60"/>
            </w:pPr>
            <w:r>
              <w:rPr>
                <w:b w:val="false"/>
                <w:b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Deployment Strategy — GRC for Bank Client</dc:title>
  <dc:creator>Baarez Technology</dc:creator>
  <dc:description>How the GRC application is deployed to a Bank client as a POC: code stays in Baarez DigitalOcean, data stays in the Bank's PostgreSQL.</dc:description>
  <cp:lastModifiedBy>Un-named</cp:lastModifiedBy>
  <cp:revision>1</cp:revision>
  <dcterms:created xsi:type="dcterms:W3CDTF">2026-05-15T11:58:54.238Z</dcterms:created>
  <dcterms:modified xsi:type="dcterms:W3CDTF">2026-05-15T11:58:54.239Z</dcterms:modified>
</cp:coreProperties>
</file>

<file path=docProps/custom.xml><?xml version="1.0" encoding="utf-8"?>
<Properties xmlns="http://schemas.openxmlformats.org/officeDocument/2006/custom-properties" xmlns:vt="http://schemas.openxmlformats.org/officeDocument/2006/docPropsVTypes"/>
</file>