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88E5"/>
          <w:sz w:val="28"/>
        </w:rPr>
        <w:t>GRC PLATFORM</w:t>
      </w:r>
    </w:p>
    <w:p>
      <w:pPr>
        <w:jc w:val="center"/>
      </w:pPr>
      <w:r>
        <w:rPr>
          <w:b/>
          <w:color w:val="0B3D91"/>
          <w:sz w:val="72"/>
        </w:rPr>
        <w:t>Target Audience</w:t>
      </w:r>
    </w:p>
    <w:p>
      <w:pPr>
        <w:jc w:val="center"/>
        <w:pBdr>
          <w:bottom w:val="single" w:sz="8" w:space="1" w:color="1E88E5"/>
        </w:pBdr>
      </w:pPr>
    </w:p>
    <w:p>
      <w:pPr>
        <w:jc w:val="center"/>
      </w:pPr>
      <w:r>
        <w:rPr>
          <w:i/>
          <w:color w:val="555F77"/>
          <w:sz w:val="28"/>
        </w:rPr>
        <w:t>Governance, Risk, and Compliance — who we serve and the value we deliver</w:t>
      </w:r>
    </w:p>
    <w:p>
      <w:pPr>
        <w:jc w:val="center"/>
      </w:pPr>
      <w:r>
        <w:rPr>
          <w:color w:val="555F77"/>
          <w:sz w:val="22"/>
        </w:rPr>
        <w:br/>
        <w:br/>
        <w:t>Glimmora International</w:t>
        <w:br/>
        <w:t>info@glimmora.ai</w:t>
      </w:r>
    </w:p>
    <w:p>
      <w:r>
        <w:br w:type="page"/>
      </w:r>
    </w:p>
    <w:p>
      <w:pPr>
        <w:pStyle w:val="Heading1"/>
      </w:pPr>
      <w:r>
        <w:t>1. Purpose of This Document</w:t>
      </w:r>
    </w:p>
    <w:p>
      <w:r>
        <w:rPr>
          <w:b w:val="0"/>
          <w:i w:val="0"/>
        </w:rPr>
        <w:t>This document identifies the primary and secondary audiences for the Glimmora GRC Platform. The GRC platform covers Organization (profile, context, processes, BIA), Compliance (frameworks, controls, governance, evidence, exceptions, KPIs), Risk Management (register, assessment, response, RCM), and Asset Management (inventory, classification). It is intended for solution buyers, internal champions, sales engineers, and onboarding teams.</w:t>
      </w:r>
    </w:p>
    <w:p>
      <w:pPr>
        <w:pStyle w:val="Heading1"/>
      </w:pPr>
      <w:r>
        <w:t>2. Primary Audiences</w:t>
      </w:r>
    </w:p>
    <w:p>
      <w:pPr>
        <w:pStyle w:val="Heading2"/>
      </w:pPr>
      <w:r>
        <w:t>2.1 Chief Risk Officer (CRO) / Head of Risk</w:t>
      </w:r>
    </w:p>
    <w:p>
      <w:r>
        <w:rPr>
          <w:b w:val="0"/>
          <w:i w:val="0"/>
        </w:rPr>
        <w:t>Owns the enterprise risk framework, reports to the Risk Committee, and needs a single view of risk exposure across the organisation.</w:t>
      </w:r>
    </w:p>
    <w:p>
      <w:r>
        <w:rPr>
          <w:b/>
          <w:i w:val="0"/>
        </w:rPr>
        <w:t>Key pain points addressed:</w:t>
      </w:r>
    </w:p>
    <w:p>
      <w:pPr>
        <w:pStyle w:val="ListBullet"/>
      </w:pPr>
      <w:r>
        <w:t>Risk register lives in spreadsheets — stale within days</w:t>
      </w:r>
    </w:p>
    <w:p>
      <w:pPr>
        <w:pStyle w:val="ListBullet"/>
      </w:pPr>
      <w:r>
        <w:t>No shared taxonomy between risk, compliance, and audit</w:t>
      </w:r>
    </w:p>
    <w:p>
      <w:pPr>
        <w:pStyle w:val="ListBullet"/>
      </w:pPr>
      <w:r>
        <w:t>Risk response actions are tracked in email, not the register</w:t>
      </w:r>
    </w:p>
    <w:p>
      <w:pPr>
        <w:pStyle w:val="ListBullet"/>
      </w:pPr>
      <w:r>
        <w:t>KPIs and risk indicators sit in BI tools disconnected from the risk record</w:t>
      </w:r>
    </w:p>
    <w:p>
      <w:r>
        <w:rPr>
          <w:b/>
          <w:i w:val="0"/>
        </w:rPr>
        <w:t>Platform value:</w:t>
      </w:r>
    </w:p>
    <w:p>
      <w:pPr>
        <w:pStyle w:val="ListBullet"/>
      </w:pPr>
      <w:r>
        <w:t>Unified risk register with assessment, response, and Risk-Control Matrix</w:t>
      </w:r>
    </w:p>
    <w:p>
      <w:pPr>
        <w:pStyle w:val="ListBullet"/>
      </w:pPr>
      <w:r>
        <w:t>Shared taxonomy across Risk, Compliance, and Internal Audit</w:t>
      </w:r>
    </w:p>
    <w:p>
      <w:pPr>
        <w:pStyle w:val="ListBullet"/>
      </w:pPr>
      <w:r>
        <w:t>KPIs linked directly to risks and controls</w:t>
      </w:r>
    </w:p>
    <w:p>
      <w:pPr>
        <w:pStyle w:val="ListBullet"/>
      </w:pPr>
      <w:r>
        <w:t>Heat-maps and dashboards driven from live data, not exports</w:t>
      </w:r>
    </w:p>
    <w:p>
      <w:pPr>
        <w:pStyle w:val="Heading2"/>
      </w:pPr>
      <w:r>
        <w:t>2.2 Chief Compliance Officer (CCO) / Compliance Head</w:t>
      </w:r>
    </w:p>
    <w:p>
      <w:r>
        <w:rPr>
          <w:b w:val="0"/>
          <w:i w:val="0"/>
        </w:rPr>
        <w:t>Maintains compliance with multiple regulatory and voluntary frameworks (ISO 27001, SOC 2, PCI, GDPR, sector-specific regulators).</w:t>
      </w:r>
    </w:p>
    <w:p>
      <w:r>
        <w:rPr>
          <w:b/>
          <w:i w:val="0"/>
        </w:rPr>
        <w:t>Key pain points addressed:</w:t>
      </w:r>
    </w:p>
    <w:p>
      <w:pPr>
        <w:pStyle w:val="ListBullet"/>
      </w:pPr>
      <w:r>
        <w:t>Same control mapped to five frameworks — and re-tested five times</w:t>
      </w:r>
    </w:p>
    <w:p>
      <w:pPr>
        <w:pStyle w:val="ListBullet"/>
      </w:pPr>
      <w:r>
        <w:t>Evidence collection is a once-a-year scramble before external audit</w:t>
      </w:r>
    </w:p>
    <w:p>
      <w:pPr>
        <w:pStyle w:val="ListBullet"/>
      </w:pPr>
      <w:r>
        <w:t>Governance documents have no review schedule — they go stale silently</w:t>
      </w:r>
    </w:p>
    <w:p>
      <w:pPr>
        <w:pStyle w:val="ListBullet"/>
      </w:pPr>
      <w:r>
        <w:t>Exceptions and waivers live outside any controlled register</w:t>
      </w:r>
    </w:p>
    <w:p>
      <w:r>
        <w:rPr>
          <w:b/>
          <w:i w:val="0"/>
        </w:rPr>
        <w:t>Platform value:</w:t>
      </w:r>
    </w:p>
    <w:p>
      <w:pPr>
        <w:pStyle w:val="ListBullet"/>
      </w:pPr>
      <w:r>
        <w:t>Framework Library with controls mapped across multiple frameworks (test once, satisfy many)</w:t>
      </w:r>
    </w:p>
    <w:p>
      <w:pPr>
        <w:pStyle w:val="ListBullet"/>
      </w:pPr>
      <w:r>
        <w:t>Continuous evidence collection with assignees and due-date reminders</w:t>
      </w:r>
    </w:p>
    <w:p>
      <w:pPr>
        <w:pStyle w:val="ListBullet"/>
      </w:pPr>
      <w:r>
        <w:t>Governance document register with review cadence and notification on expiry</w:t>
      </w:r>
    </w:p>
    <w:p>
      <w:pPr>
        <w:pStyle w:val="ListBullet"/>
      </w:pPr>
      <w:r>
        <w:t>Exception register with owner, expiry, and approver workflow</w:t>
      </w:r>
    </w:p>
    <w:p>
      <w:pPr>
        <w:pStyle w:val="ListBullet"/>
      </w:pPr>
      <w:r>
        <w:t>Statement of Applicability (SOA) and Regulatory Intelligence profiles</w:t>
      </w:r>
    </w:p>
    <w:p>
      <w:pPr>
        <w:pStyle w:val="Heading2"/>
      </w:pPr>
      <w:r>
        <w:t>2.3 Risk Owner / Risk Champion (Business)</w:t>
      </w:r>
    </w:p>
    <w:p>
      <w:r>
        <w:rPr>
          <w:b w:val="0"/>
          <w:i w:val="0"/>
        </w:rPr>
        <w:t>Owns risks within their function (Finance, IT, Operations, HR, etc.) and is accountable for assessment, treatment, and reporting on those risks.</w:t>
      </w:r>
    </w:p>
    <w:p>
      <w:r>
        <w:rPr>
          <w:b/>
          <w:i w:val="0"/>
        </w:rPr>
        <w:t>Key pain points addressed:</w:t>
      </w:r>
    </w:p>
    <w:p>
      <w:pPr>
        <w:pStyle w:val="ListBullet"/>
      </w:pPr>
      <w:r>
        <w:t>Risk assessment is an annual ritual, not an operational habit</w:t>
      </w:r>
    </w:p>
    <w:p>
      <w:pPr>
        <w:pStyle w:val="ListBullet"/>
      </w:pPr>
      <w:r>
        <w:t>Treatment actions are not visible to the second line</w:t>
      </w:r>
    </w:p>
    <w:p>
      <w:pPr>
        <w:pStyle w:val="ListBullet"/>
      </w:pPr>
      <w:r>
        <w:t>No simple way to escalate emerging risks to the CRO</w:t>
      </w:r>
    </w:p>
    <w:p>
      <w:r>
        <w:rPr>
          <w:b/>
          <w:i w:val="0"/>
        </w:rPr>
        <w:t>Platform value:</w:t>
      </w:r>
    </w:p>
    <w:p>
      <w:pPr>
        <w:pStyle w:val="ListBullet"/>
      </w:pPr>
      <w:r>
        <w:t>Risk record with embedded assessment, response, and review history</w:t>
      </w:r>
    </w:p>
    <w:p>
      <w:pPr>
        <w:pStyle w:val="ListBullet"/>
      </w:pPr>
      <w:r>
        <w:t>Treatment actions assigned, tracked, and visible to the CRO</w:t>
      </w:r>
    </w:p>
    <w:p>
      <w:pPr>
        <w:pStyle w:val="ListBullet"/>
      </w:pPr>
      <w:r>
        <w:t>Escalation rules trigger when residual risk exceeds tolerance</w:t>
      </w:r>
    </w:p>
    <w:p>
      <w:pPr>
        <w:pStyle w:val="Heading2"/>
      </w:pPr>
      <w:r>
        <w:t>2.4 Control Owner / Process Owner</w:t>
      </w:r>
    </w:p>
    <w:p>
      <w:r>
        <w:rPr>
          <w:b w:val="0"/>
          <w:i w:val="0"/>
        </w:rPr>
        <w:t>Responsible for designing, operating, and evidencing controls that mitigate risks and satisfy compliance requirements.</w:t>
      </w:r>
    </w:p>
    <w:p>
      <w:r>
        <w:rPr>
          <w:b/>
          <w:i w:val="0"/>
        </w:rPr>
        <w:t>Key pain points addressed:</w:t>
      </w:r>
    </w:p>
    <w:p>
      <w:pPr>
        <w:pStyle w:val="ListBullet"/>
      </w:pPr>
      <w:r>
        <w:t>Asked for the same evidence by multiple framework auditors</w:t>
      </w:r>
    </w:p>
    <w:p>
      <w:pPr>
        <w:pStyle w:val="ListBullet"/>
      </w:pPr>
      <w:r>
        <w:t>Unclear which controls they actually own</w:t>
      </w:r>
    </w:p>
    <w:p>
      <w:pPr>
        <w:pStyle w:val="ListBullet"/>
      </w:pPr>
      <w:r>
        <w:t>No way to flag control design issues without escalating</w:t>
      </w:r>
    </w:p>
    <w:p>
      <w:r>
        <w:rPr>
          <w:b/>
          <w:i w:val="0"/>
        </w:rPr>
        <w:t>Platform value:</w:t>
      </w:r>
    </w:p>
    <w:p>
      <w:pPr>
        <w:pStyle w:val="ListBullet"/>
      </w:pPr>
      <w:r>
        <w:t>Per-owner control dashboard with operating effectiveness status</w:t>
      </w:r>
    </w:p>
    <w:p>
      <w:pPr>
        <w:pStyle w:val="ListBullet"/>
      </w:pPr>
      <w:r>
        <w:t>Evidence library — submit once, satisfy many frameworks</w:t>
      </w:r>
    </w:p>
    <w:p>
      <w:pPr>
        <w:pStyle w:val="ListBullet"/>
      </w:pPr>
      <w:r>
        <w:t>Built-in exception workflow when controls cannot operate as designed</w:t>
      </w:r>
    </w:p>
    <w:p>
      <w:pPr>
        <w:pStyle w:val="Heading2"/>
      </w:pPr>
      <w:r>
        <w:t>2.5 Business Continuity / BIA Owner</w:t>
      </w:r>
    </w:p>
    <w:p>
      <w:r>
        <w:rPr>
          <w:b w:val="0"/>
          <w:i w:val="0"/>
        </w:rPr>
        <w:t>Maintains the Business Impact Analysis, RTO/RPO targets, and BCP documentation.</w:t>
      </w:r>
    </w:p>
    <w:p>
      <w:r>
        <w:rPr>
          <w:b/>
          <w:i w:val="0"/>
        </w:rPr>
        <w:t>Key pain points addressed:</w:t>
      </w:r>
    </w:p>
    <w:p>
      <w:pPr>
        <w:pStyle w:val="ListBullet"/>
      </w:pPr>
      <w:r>
        <w:t>BIA is a 200-page Word document with no review trigger</w:t>
      </w:r>
    </w:p>
    <w:p>
      <w:pPr>
        <w:pStyle w:val="ListBullet"/>
      </w:pPr>
      <w:r>
        <w:t>Process criticality is decided ad-hoc, not from a methodology</w:t>
      </w:r>
    </w:p>
    <w:p>
      <w:pPr>
        <w:pStyle w:val="ListBullet"/>
      </w:pPr>
      <w:r>
        <w:t>No link between BIA and the underlying processes and assets</w:t>
      </w:r>
    </w:p>
    <w:p>
      <w:r>
        <w:rPr>
          <w:b/>
          <w:i w:val="0"/>
        </w:rPr>
        <w:t>Platform value:</w:t>
      </w:r>
    </w:p>
    <w:p>
      <w:pPr>
        <w:pStyle w:val="ListBullet"/>
      </w:pPr>
      <w:r>
        <w:t>Structured BIA per process with configurable methodology and categories</w:t>
      </w:r>
    </w:p>
    <w:p>
      <w:pPr>
        <w:pStyle w:val="ListBullet"/>
      </w:pPr>
      <w:r>
        <w:t>Process catalogue tied to BIA, KPIs, and risks</w:t>
      </w:r>
    </w:p>
    <w:p>
      <w:pPr>
        <w:pStyle w:val="ListBullet"/>
      </w:pPr>
      <w:r>
        <w:t>BCP labels and review schedules driven by criticality</w:t>
      </w:r>
    </w:p>
    <w:p>
      <w:pPr>
        <w:pStyle w:val="Heading2"/>
      </w:pPr>
      <w:r>
        <w:t>2.6 IT Asset / Information Asset Manager</w:t>
      </w:r>
    </w:p>
    <w:p>
      <w:r>
        <w:rPr>
          <w:b w:val="0"/>
          <w:i w:val="0"/>
        </w:rPr>
        <w:t>Maintains the inventory of information assets and their classification per the organisation's data classification policy.</w:t>
      </w:r>
    </w:p>
    <w:p>
      <w:r>
        <w:rPr>
          <w:b/>
          <w:i w:val="0"/>
        </w:rPr>
        <w:t>Key pain points addressed:</w:t>
      </w:r>
    </w:p>
    <w:p>
      <w:pPr>
        <w:pStyle w:val="ListBullet"/>
      </w:pPr>
      <w:r>
        <w:t>Asset inventory is a CMDB export — out of date, IT-only</w:t>
      </w:r>
    </w:p>
    <w:p>
      <w:pPr>
        <w:pStyle w:val="ListBullet"/>
      </w:pPr>
      <w:r>
        <w:t>Classification is inconsistent across departments</w:t>
      </w:r>
    </w:p>
    <w:p>
      <w:pPr>
        <w:pStyle w:val="ListBullet"/>
      </w:pPr>
      <w:r>
        <w:t>No link between asset and the risks / controls applied to it</w:t>
      </w:r>
    </w:p>
    <w:p>
      <w:r>
        <w:rPr>
          <w:b/>
          <w:i w:val="0"/>
        </w:rPr>
        <w:t>Platform value:</w:t>
      </w:r>
    </w:p>
    <w:p>
      <w:pPr>
        <w:pStyle w:val="ListBullet"/>
      </w:pPr>
      <w:r>
        <w:t>Asset Inventory and Classification with custom attributes</w:t>
      </w:r>
    </w:p>
    <w:p>
      <w:pPr>
        <w:pStyle w:val="ListBullet"/>
      </w:pPr>
      <w:r>
        <w:t>My Inventory view for individual asset custodians</w:t>
      </w:r>
    </w:p>
    <w:p>
      <w:pPr>
        <w:pStyle w:val="ListBullet"/>
      </w:pPr>
      <w:r>
        <w:t>Asset-to-risk and asset-to-control linking</w:t>
      </w:r>
    </w:p>
    <w:p>
      <w:pPr>
        <w:pStyle w:val="Heading1"/>
      </w:pPr>
      <w:r>
        <w:t>3. Secondary Audiences</w:t>
      </w:r>
    </w:p>
    <w:p>
      <w:pPr>
        <w:pStyle w:val="Heading2"/>
      </w:pPr>
      <w:r>
        <w:t>3.1 Board / Risk Committee</w:t>
      </w:r>
    </w:p>
    <w:p>
      <w:pPr>
        <w:pStyle w:val="ListBullet"/>
      </w:pPr>
      <w:r>
        <w:t>Live risk dashboards instead of static quarterly PDFs</w:t>
      </w:r>
    </w:p>
    <w:p>
      <w:pPr>
        <w:pStyle w:val="ListBullet"/>
      </w:pPr>
      <w:r>
        <w:t>Trend analysis on residual risk, control failures, and overdue actions</w:t>
      </w:r>
    </w:p>
    <w:p>
      <w:pPr>
        <w:pStyle w:val="ListBullet"/>
      </w:pPr>
      <w:r>
        <w:t>Drill-through from board chart to underlying record</w:t>
      </w:r>
    </w:p>
    <w:p>
      <w:pPr>
        <w:pStyle w:val="Heading2"/>
      </w:pPr>
      <w:r>
        <w:t>3.2 External Auditors / Regulators</w:t>
      </w:r>
    </w:p>
    <w:p>
      <w:pPr>
        <w:pStyle w:val="ListBullet"/>
      </w:pPr>
      <w:r>
        <w:t>Read-only access to evidence and SOA</w:t>
      </w:r>
    </w:p>
    <w:p>
      <w:pPr>
        <w:pStyle w:val="ListBullet"/>
      </w:pPr>
      <w:r>
        <w:t>Auditable trail of every change to a control, evidence item, or exception</w:t>
      </w:r>
    </w:p>
    <w:p>
      <w:pPr>
        <w:pStyle w:val="ListBullet"/>
      </w:pPr>
      <w:r>
        <w:t>Export packs for offline review</w:t>
      </w:r>
    </w:p>
    <w:p>
      <w:pPr>
        <w:pStyle w:val="Heading2"/>
      </w:pPr>
      <w:r>
        <w:t>3.3 IT / Information Security</w:t>
      </w:r>
    </w:p>
    <w:p>
      <w:pPr>
        <w:pStyle w:val="ListBullet"/>
      </w:pPr>
      <w:r>
        <w:t>AES-256-GCM at rest, TLS 1.2+ in transit</w:t>
      </w:r>
    </w:p>
    <w:p>
      <w:pPr>
        <w:pStyle w:val="ListBullet"/>
      </w:pPr>
      <w:r>
        <w:t>RBAC with department-scoped roles</w:t>
      </w:r>
    </w:p>
    <w:p>
      <w:pPr>
        <w:pStyle w:val="ListBullet"/>
      </w:pPr>
      <w:r>
        <w:t>Activity logs for SIEM ingestion</w:t>
      </w:r>
    </w:p>
    <w:p>
      <w:pPr>
        <w:pStyle w:val="Heading1"/>
      </w:pPr>
      <w:r>
        <w:t>4. Target Industries</w:t>
      </w:r>
    </w:p>
    <w:tbl>
      <w:tblPr>
        <w:tblStyle w:val="LightGrid-Accent1"/>
        <w:tblW w:type="auto" w:w="0"/>
        <w:tblLook w:firstColumn="1" w:firstRow="1" w:lastColumn="0" w:lastRow="0" w:noHBand="0" w:noVBand="1" w:val="04A0"/>
      </w:tblPr>
      <w:tblGrid>
        <w:gridCol w:w="3216"/>
        <w:gridCol w:w="3216"/>
        <w:gridCol w:w="3216"/>
      </w:tblGrid>
      <w:tr>
        <w:tc>
          <w:tcPr>
            <w:tcW w:type="dxa" w:w="2551"/>
            <w:shd w:val="clear" w:color="auto" w:fill="0B3D91"/>
            <w:vAlign w:val="center"/>
          </w:tcPr>
          <w:p>
            <w:r/>
            <w:r>
              <w:rPr>
                <w:b/>
                <w:color w:val="FFFFFF"/>
                <w:sz w:val="22"/>
              </w:rPr>
              <w:t>Industry</w:t>
            </w:r>
          </w:p>
        </w:tc>
        <w:tc>
          <w:tcPr>
            <w:tcW w:type="dxa" w:w="3118"/>
            <w:shd w:val="clear" w:color="auto" w:fill="0B3D91"/>
            <w:vAlign w:val="center"/>
          </w:tcPr>
          <w:p>
            <w:r/>
            <w:r>
              <w:rPr>
                <w:b/>
                <w:color w:val="FFFFFF"/>
                <w:sz w:val="22"/>
              </w:rPr>
              <w:t>Why GRC Matters</w:t>
            </w:r>
          </w:p>
        </w:tc>
        <w:tc>
          <w:tcPr>
            <w:tcW w:type="dxa" w:w="3402"/>
            <w:shd w:val="clear" w:color="auto" w:fill="0B3D91"/>
            <w:vAlign w:val="center"/>
          </w:tcPr>
          <w:p>
            <w:r/>
            <w:r>
              <w:rPr>
                <w:b/>
                <w:color w:val="FFFFFF"/>
                <w:sz w:val="22"/>
              </w:rPr>
              <w:t>Specific Drivers</w:t>
            </w:r>
          </w:p>
        </w:tc>
      </w:tr>
      <w:tr>
        <w:tc>
          <w:tcPr>
            <w:tcW w:type="dxa" w:w="2551"/>
          </w:tcPr>
          <w:p>
            <w:r/>
            <w:r>
              <w:rPr>
                <w:sz w:val="21"/>
              </w:rPr>
              <w:t>Banking &amp; Financial Services</w:t>
            </w:r>
          </w:p>
        </w:tc>
        <w:tc>
          <w:tcPr>
            <w:tcW w:type="dxa" w:w="3118"/>
          </w:tcPr>
          <w:p>
            <w:r/>
            <w:r>
              <w:rPr>
                <w:sz w:val="21"/>
              </w:rPr>
              <w:t>Multi-framework, multi-regulator</w:t>
            </w:r>
          </w:p>
        </w:tc>
        <w:tc>
          <w:tcPr>
            <w:tcW w:type="dxa" w:w="3402"/>
          </w:tcPr>
          <w:p>
            <w:r/>
            <w:r>
              <w:rPr>
                <w:sz w:val="21"/>
              </w:rPr>
              <w:t>RBI, SEBI, Basel, ISO 27001</w:t>
            </w:r>
          </w:p>
        </w:tc>
      </w:tr>
      <w:tr>
        <w:tc>
          <w:tcPr>
            <w:tcW w:type="dxa" w:w="2551"/>
            <w:shd w:val="clear" w:color="auto" w:fill="F2F5FB"/>
          </w:tcPr>
          <w:p>
            <w:r/>
            <w:r>
              <w:rPr>
                <w:sz w:val="21"/>
              </w:rPr>
              <w:t>Insurance</w:t>
            </w:r>
          </w:p>
        </w:tc>
        <w:tc>
          <w:tcPr>
            <w:tcW w:type="dxa" w:w="3118"/>
            <w:shd w:val="clear" w:color="auto" w:fill="F2F5FB"/>
          </w:tcPr>
          <w:p>
            <w:r/>
            <w:r>
              <w:rPr>
                <w:sz w:val="21"/>
              </w:rPr>
              <w:t>ORSA, solvency, conduct risk</w:t>
            </w:r>
          </w:p>
        </w:tc>
        <w:tc>
          <w:tcPr>
            <w:tcW w:type="dxa" w:w="3402"/>
            <w:shd w:val="clear" w:color="auto" w:fill="F2F5FB"/>
          </w:tcPr>
          <w:p>
            <w:r/>
            <w:r>
              <w:rPr>
                <w:sz w:val="21"/>
              </w:rPr>
              <w:t>IRDAI guidance, conduct frameworks</w:t>
            </w:r>
          </w:p>
        </w:tc>
      </w:tr>
      <w:tr>
        <w:tc>
          <w:tcPr>
            <w:tcW w:type="dxa" w:w="2551"/>
          </w:tcPr>
          <w:p>
            <w:r/>
            <w:r>
              <w:rPr>
                <w:sz w:val="21"/>
              </w:rPr>
              <w:t>Healthcare</w:t>
            </w:r>
          </w:p>
        </w:tc>
        <w:tc>
          <w:tcPr>
            <w:tcW w:type="dxa" w:w="3118"/>
          </w:tcPr>
          <w:p>
            <w:r/>
            <w:r>
              <w:rPr>
                <w:sz w:val="21"/>
              </w:rPr>
              <w:t>Patient data, accreditation, safety</w:t>
            </w:r>
          </w:p>
        </w:tc>
        <w:tc>
          <w:tcPr>
            <w:tcW w:type="dxa" w:w="3402"/>
          </w:tcPr>
          <w:p>
            <w:r/>
            <w:r>
              <w:rPr>
                <w:sz w:val="21"/>
              </w:rPr>
              <w:t>HIPAA-like, NABH/JCI</w:t>
            </w:r>
          </w:p>
        </w:tc>
      </w:tr>
      <w:tr>
        <w:tc>
          <w:tcPr>
            <w:tcW w:type="dxa" w:w="2551"/>
            <w:shd w:val="clear" w:color="auto" w:fill="F2F5FB"/>
          </w:tcPr>
          <w:p>
            <w:r/>
            <w:r>
              <w:rPr>
                <w:sz w:val="21"/>
              </w:rPr>
              <w:t>Manufacturing</w:t>
            </w:r>
          </w:p>
        </w:tc>
        <w:tc>
          <w:tcPr>
            <w:tcW w:type="dxa" w:w="3118"/>
            <w:shd w:val="clear" w:color="auto" w:fill="F2F5FB"/>
          </w:tcPr>
          <w:p>
            <w:r/>
            <w:r>
              <w:rPr>
                <w:sz w:val="21"/>
              </w:rPr>
              <w:t>Operational risk, supplier compliance</w:t>
            </w:r>
          </w:p>
        </w:tc>
        <w:tc>
          <w:tcPr>
            <w:tcW w:type="dxa" w:w="3402"/>
            <w:shd w:val="clear" w:color="auto" w:fill="F2F5FB"/>
          </w:tcPr>
          <w:p>
            <w:r/>
            <w:r>
              <w:rPr>
                <w:sz w:val="21"/>
              </w:rPr>
              <w:t>ISO 9001/14001/45001</w:t>
            </w:r>
          </w:p>
        </w:tc>
      </w:tr>
      <w:tr>
        <w:tc>
          <w:tcPr>
            <w:tcW w:type="dxa" w:w="2551"/>
          </w:tcPr>
          <w:p>
            <w:r/>
            <w:r>
              <w:rPr>
                <w:sz w:val="21"/>
              </w:rPr>
              <w:t>IT / ITeS</w:t>
            </w:r>
          </w:p>
        </w:tc>
        <w:tc>
          <w:tcPr>
            <w:tcW w:type="dxa" w:w="3118"/>
          </w:tcPr>
          <w:p>
            <w:r/>
            <w:r>
              <w:rPr>
                <w:sz w:val="21"/>
              </w:rPr>
              <w:t>Client contracts, security certifications</w:t>
            </w:r>
          </w:p>
        </w:tc>
        <w:tc>
          <w:tcPr>
            <w:tcW w:type="dxa" w:w="3402"/>
          </w:tcPr>
          <w:p>
            <w:r/>
            <w:r>
              <w:rPr>
                <w:sz w:val="21"/>
              </w:rPr>
              <w:t>ISO 27001, SOC 2, GDPR, client audits</w:t>
            </w:r>
          </w:p>
        </w:tc>
      </w:tr>
      <w:tr>
        <w:tc>
          <w:tcPr>
            <w:tcW w:type="dxa" w:w="2551"/>
            <w:shd w:val="clear" w:color="auto" w:fill="F2F5FB"/>
          </w:tcPr>
          <w:p>
            <w:r/>
            <w:r>
              <w:rPr>
                <w:sz w:val="21"/>
              </w:rPr>
              <w:t>Energy &amp; Utilities</w:t>
            </w:r>
          </w:p>
        </w:tc>
        <w:tc>
          <w:tcPr>
            <w:tcW w:type="dxa" w:w="3118"/>
            <w:shd w:val="clear" w:color="auto" w:fill="F2F5FB"/>
          </w:tcPr>
          <w:p>
            <w:r/>
            <w:r>
              <w:rPr>
                <w:sz w:val="21"/>
              </w:rPr>
              <w:t>Operational risk, safety, regulatory</w:t>
            </w:r>
          </w:p>
        </w:tc>
        <w:tc>
          <w:tcPr>
            <w:tcW w:type="dxa" w:w="3402"/>
            <w:shd w:val="clear" w:color="auto" w:fill="F2F5FB"/>
          </w:tcPr>
          <w:p>
            <w:r/>
            <w:r>
              <w:rPr>
                <w:sz w:val="21"/>
              </w:rPr>
              <w:t>Sector regulators, ISO 55001</w:t>
            </w:r>
          </w:p>
        </w:tc>
      </w:tr>
      <w:tr>
        <w:tc>
          <w:tcPr>
            <w:tcW w:type="dxa" w:w="2551"/>
          </w:tcPr>
          <w:p>
            <w:r/>
            <w:r>
              <w:rPr>
                <w:sz w:val="21"/>
              </w:rPr>
              <w:t>Public Sector</w:t>
            </w:r>
          </w:p>
        </w:tc>
        <w:tc>
          <w:tcPr>
            <w:tcW w:type="dxa" w:w="3118"/>
          </w:tcPr>
          <w:p>
            <w:r/>
            <w:r>
              <w:rPr>
                <w:sz w:val="21"/>
              </w:rPr>
              <w:t>Compliance with statutory frameworks</w:t>
            </w:r>
          </w:p>
        </w:tc>
        <w:tc>
          <w:tcPr>
            <w:tcW w:type="dxa" w:w="3402"/>
          </w:tcPr>
          <w:p>
            <w:r/>
            <w:r>
              <w:rPr>
                <w:sz w:val="21"/>
              </w:rPr>
              <w:t>CAG, CVC, sector codes</w:t>
            </w:r>
          </w:p>
        </w:tc>
      </w:tr>
    </w:tbl>
    <w:p>
      <w:pPr>
        <w:pStyle w:val="Heading1"/>
      </w:pPr>
      <w:r>
        <w:t>5. Buying Personas</w:t>
      </w:r>
    </w:p>
    <w:tbl>
      <w:tblPr>
        <w:tblStyle w:val="LightGrid-Accent1"/>
        <w:tblW w:type="auto" w:w="0"/>
        <w:tblLook w:firstColumn="1" w:firstRow="1" w:lastColumn="0" w:lastRow="0" w:noHBand="0" w:noVBand="1" w:val="04A0"/>
      </w:tblPr>
      <w:tblGrid>
        <w:gridCol w:w="3216"/>
        <w:gridCol w:w="3216"/>
        <w:gridCol w:w="3216"/>
      </w:tblGrid>
      <w:tr>
        <w:tc>
          <w:tcPr>
            <w:tcW w:type="dxa" w:w="2551"/>
            <w:shd w:val="clear" w:color="auto" w:fill="0B3D91"/>
            <w:vAlign w:val="center"/>
          </w:tcPr>
          <w:p>
            <w:r/>
            <w:r>
              <w:rPr>
                <w:b/>
                <w:color w:val="FFFFFF"/>
                <w:sz w:val="22"/>
              </w:rPr>
              <w:t>Persona</w:t>
            </w:r>
          </w:p>
        </w:tc>
        <w:tc>
          <w:tcPr>
            <w:tcW w:type="dxa" w:w="2551"/>
            <w:shd w:val="clear" w:color="auto" w:fill="0B3D91"/>
            <w:vAlign w:val="center"/>
          </w:tcPr>
          <w:p>
            <w:r/>
            <w:r>
              <w:rPr>
                <w:b/>
                <w:color w:val="FFFFFF"/>
                <w:sz w:val="22"/>
              </w:rPr>
              <w:t>Role in Decision</w:t>
            </w:r>
          </w:p>
        </w:tc>
        <w:tc>
          <w:tcPr>
            <w:tcW w:type="dxa" w:w="3969"/>
            <w:shd w:val="clear" w:color="auto" w:fill="0B3D91"/>
            <w:vAlign w:val="center"/>
          </w:tcPr>
          <w:p>
            <w:r/>
            <w:r>
              <w:rPr>
                <w:b/>
                <w:color w:val="FFFFFF"/>
                <w:sz w:val="22"/>
              </w:rPr>
              <w:t>What They Want to Hear</w:t>
            </w:r>
          </w:p>
        </w:tc>
      </w:tr>
      <w:tr>
        <w:tc>
          <w:tcPr>
            <w:tcW w:type="dxa" w:w="2551"/>
          </w:tcPr>
          <w:p>
            <w:r/>
            <w:r>
              <w:rPr>
                <w:sz w:val="21"/>
              </w:rPr>
              <w:t>CRO</w:t>
            </w:r>
          </w:p>
        </w:tc>
        <w:tc>
          <w:tcPr>
            <w:tcW w:type="dxa" w:w="2551"/>
          </w:tcPr>
          <w:p>
            <w:r/>
            <w:r>
              <w:rPr>
                <w:sz w:val="21"/>
              </w:rPr>
              <w:t>Economic buyer for risk</w:t>
            </w:r>
          </w:p>
        </w:tc>
        <w:tc>
          <w:tcPr>
            <w:tcW w:type="dxa" w:w="3969"/>
          </w:tcPr>
          <w:p>
            <w:r/>
            <w:r>
              <w:rPr>
                <w:sz w:val="21"/>
              </w:rPr>
              <w:t>Live risk view, shared taxonomy, board-ready output</w:t>
            </w:r>
          </w:p>
        </w:tc>
      </w:tr>
      <w:tr>
        <w:tc>
          <w:tcPr>
            <w:tcW w:type="dxa" w:w="2551"/>
            <w:shd w:val="clear" w:color="auto" w:fill="F2F5FB"/>
          </w:tcPr>
          <w:p>
            <w:r/>
            <w:r>
              <w:rPr>
                <w:sz w:val="21"/>
              </w:rPr>
              <w:t>CCO</w:t>
            </w:r>
          </w:p>
        </w:tc>
        <w:tc>
          <w:tcPr>
            <w:tcW w:type="dxa" w:w="2551"/>
            <w:shd w:val="clear" w:color="auto" w:fill="F2F5FB"/>
          </w:tcPr>
          <w:p>
            <w:r/>
            <w:r>
              <w:rPr>
                <w:sz w:val="21"/>
              </w:rPr>
              <w:t>Economic buyer for compliance</w:t>
            </w:r>
          </w:p>
        </w:tc>
        <w:tc>
          <w:tcPr>
            <w:tcW w:type="dxa" w:w="3969"/>
            <w:shd w:val="clear" w:color="auto" w:fill="F2F5FB"/>
          </w:tcPr>
          <w:p>
            <w:r/>
            <w:r>
              <w:rPr>
                <w:sz w:val="21"/>
              </w:rPr>
              <w:t>Multi-framework mapping, evidence reuse, audit-ready</w:t>
            </w:r>
          </w:p>
        </w:tc>
      </w:tr>
      <w:tr>
        <w:tc>
          <w:tcPr>
            <w:tcW w:type="dxa" w:w="2551"/>
          </w:tcPr>
          <w:p>
            <w:r/>
            <w:r>
              <w:rPr>
                <w:sz w:val="21"/>
              </w:rPr>
              <w:t>CFO</w:t>
            </w:r>
          </w:p>
        </w:tc>
        <w:tc>
          <w:tcPr>
            <w:tcW w:type="dxa" w:w="2551"/>
          </w:tcPr>
          <w:p>
            <w:r/>
            <w:r>
              <w:rPr>
                <w:sz w:val="21"/>
              </w:rPr>
              <w:t>Budget approver</w:t>
            </w:r>
          </w:p>
        </w:tc>
        <w:tc>
          <w:tcPr>
            <w:tcW w:type="dxa" w:w="3969"/>
          </w:tcPr>
          <w:p>
            <w:r/>
            <w:r>
              <w:rPr>
                <w:sz w:val="21"/>
              </w:rPr>
              <w:t>TCO, reduction in duplicated effort, fewer audit findings</w:t>
            </w:r>
          </w:p>
        </w:tc>
      </w:tr>
      <w:tr>
        <w:tc>
          <w:tcPr>
            <w:tcW w:type="dxa" w:w="2551"/>
            <w:shd w:val="clear" w:color="auto" w:fill="F2F5FB"/>
          </w:tcPr>
          <w:p>
            <w:r/>
            <w:r>
              <w:rPr>
                <w:sz w:val="21"/>
              </w:rPr>
              <w:t>CISO</w:t>
            </w:r>
          </w:p>
        </w:tc>
        <w:tc>
          <w:tcPr>
            <w:tcW w:type="dxa" w:w="2551"/>
            <w:shd w:val="clear" w:color="auto" w:fill="F2F5FB"/>
          </w:tcPr>
          <w:p>
            <w:r/>
            <w:r>
              <w:rPr>
                <w:sz w:val="21"/>
              </w:rPr>
              <w:t>Security gatekeeper</w:t>
            </w:r>
          </w:p>
        </w:tc>
        <w:tc>
          <w:tcPr>
            <w:tcW w:type="dxa" w:w="3969"/>
            <w:shd w:val="clear" w:color="auto" w:fill="F2F5FB"/>
          </w:tcPr>
          <w:p>
            <w:r/>
            <w:r>
              <w:rPr>
                <w:sz w:val="21"/>
              </w:rPr>
              <w:t>Encryption, RBAC, secure SDLC, hosting options</w:t>
            </w:r>
          </w:p>
        </w:tc>
      </w:tr>
      <w:tr>
        <w:tc>
          <w:tcPr>
            <w:tcW w:type="dxa" w:w="2551"/>
          </w:tcPr>
          <w:p>
            <w:r/>
            <w:r>
              <w:rPr>
                <w:sz w:val="21"/>
              </w:rPr>
              <w:t>Process / Control Owner</w:t>
            </w:r>
          </w:p>
        </w:tc>
        <w:tc>
          <w:tcPr>
            <w:tcW w:type="dxa" w:w="2551"/>
          </w:tcPr>
          <w:p>
            <w:r/>
            <w:r>
              <w:rPr>
                <w:sz w:val="21"/>
              </w:rPr>
              <w:t>Daily user</w:t>
            </w:r>
          </w:p>
        </w:tc>
        <w:tc>
          <w:tcPr>
            <w:tcW w:type="dxa" w:w="3969"/>
          </w:tcPr>
          <w:p>
            <w:r/>
            <w:r>
              <w:rPr>
                <w:sz w:val="21"/>
              </w:rPr>
              <w:t>Less duplicate work, clear ownership, simple UI</w:t>
            </w:r>
          </w:p>
        </w:tc>
      </w:tr>
    </w:tbl>
    <w:p>
      <w:pPr>
        <w:pStyle w:val="Heading1"/>
      </w:pPr>
      <w:r>
        <w:t>6. Out of Scope (Not Our Audience)</w:t>
      </w:r>
    </w:p>
    <w:p>
      <w:pPr>
        <w:pStyle w:val="ListBullet"/>
      </w:pPr>
      <w:r>
        <w:t>Single-user consultants seeking a personal toolkit</w:t>
      </w:r>
    </w:p>
    <w:p>
      <w:pPr>
        <w:pStyle w:val="ListBullet"/>
      </w:pPr>
      <w:r>
        <w:t>Organisations without a defined risk or compliance function</w:t>
      </w:r>
    </w:p>
    <w:p>
      <w:pPr>
        <w:pStyle w:val="ListBullet"/>
      </w:pPr>
      <w:r>
        <w:t>Teams looking only for a policy document repository — we do more than that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88E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