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E88E5"/>
          <w:sz w:val="28"/>
        </w:rPr>
        <w:t>GRC PLATFORM</w:t>
      </w:r>
    </w:p>
    <w:p>
      <w:pPr>
        <w:jc w:val="center"/>
      </w:pPr>
      <w:r>
        <w:rPr>
          <w:b/>
          <w:color w:val="0B3D91"/>
          <w:sz w:val="72"/>
        </w:rPr>
        <w:t>Technical Documentation</w:t>
      </w:r>
    </w:p>
    <w:p>
      <w:pPr>
        <w:jc w:val="center"/>
        <w:pBdr>
          <w:bottom w:val="single" w:sz="8" w:space="1" w:color="1E88E5"/>
        </w:pBdr>
      </w:pPr>
    </w:p>
    <w:p>
      <w:pPr>
        <w:jc w:val="center"/>
      </w:pPr>
      <w:r>
        <w:rPr>
          <w:i/>
          <w:color w:val="555F77"/>
          <w:sz w:val="28"/>
        </w:rPr>
        <w:t>Architecture, modules, data model, and integration points</w:t>
      </w:r>
    </w:p>
    <w:p>
      <w:pPr>
        <w:jc w:val="center"/>
      </w:pPr>
      <w:r>
        <w:rPr>
          <w:color w:val="555F77"/>
          <w:sz w:val="22"/>
        </w:rPr>
        <w:br/>
        <w:br/>
        <w:t>Glimmora International</w:t>
        <w:br/>
        <w:t>info@glimmora.ai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rPr>
          <w:b w:val="0"/>
          <w:i w:val="0"/>
        </w:rPr>
        <w:t>The Glimmora GRC Platform is a multi-tenant SaaS application that unifies Organization context, Compliance, Risk Management, and Asset Management on a single Next.js 16 / PostgreSQL stack, augmented by a Python AI backend for document understanding and translation.</w:t>
      </w:r>
    </w:p>
    <w:p>
      <w:pPr>
        <w:pStyle w:val="Heading1"/>
      </w:pPr>
      <w:r>
        <w:t>2.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425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Presentation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Next.js 16 App Router, React 19, Tailwind, shadcn/ui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Server components, RBAC navigation, multilingual UI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API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Next.js Route Handlers + NextAuth v5 (JWT)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REST endpoints, withAuth permission wrapper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Business Logic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TypeScript modules under src/lib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Framework mapping, scoring, escalation, notifications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Persistence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Prisma 6 + PostgreSQL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Multi-tenant schema with customerAccountId everywhere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AI Services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Python FastAPI + MongoDB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Document ingestion, embeddings, RAG, translation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File Storage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S3-compatible object storage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Evidence, governance docs, attachments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SMTP relay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Reminders, escalations, evidence requests</w:t>
            </w:r>
          </w:p>
        </w:tc>
      </w:tr>
    </w:tbl>
    <w:p>
      <w:pPr>
        <w:pStyle w:val="Heading1"/>
      </w:pPr>
      <w:r>
        <w:t>3. Module Inventory</w:t>
      </w:r>
    </w:p>
    <w:p>
      <w:pPr>
        <w:pStyle w:val="Heading2"/>
      </w:pPr>
      <w:r>
        <w:t>3.1 Organization</w:t>
      </w:r>
    </w:p>
    <w:p>
      <w:pPr>
        <w:pStyle w:val="ListBullet"/>
      </w:pPr>
      <w:r>
        <w:t>Organisation Profile — legal entity, ownership, geography</w:t>
      </w:r>
    </w:p>
    <w:p>
      <w:pPr>
        <w:pStyle w:val="ListBullet"/>
      </w:pPr>
      <w:r>
        <w:t>Organisation Context — ISO 9001/27001 style context-of-the-organisation register</w:t>
      </w:r>
    </w:p>
    <w:p>
      <w:pPr>
        <w:pStyle w:val="ListBullet"/>
      </w:pPr>
      <w:r>
        <w:t>Process Catalogue — process register with owner, KPI, BIA</w:t>
      </w:r>
    </w:p>
    <w:p>
      <w:pPr>
        <w:pStyle w:val="ListBullet"/>
      </w:pPr>
      <w:r>
        <w:t>BIA (Business Impact Analysis) — per-process structured BIA with configurable methodology and categories</w:t>
      </w:r>
    </w:p>
    <w:p>
      <w:pPr>
        <w:pStyle w:val="ListBullet"/>
      </w:pPr>
      <w:r>
        <w:t>BCP Labels — criticality labels driven by BIA outcome</w:t>
      </w:r>
    </w:p>
    <w:p>
      <w:pPr>
        <w:pStyle w:val="ListBullet"/>
      </w:pPr>
      <w:r>
        <w:t>User Management — users, departments, roles</w:t>
      </w:r>
    </w:p>
    <w:p>
      <w:pPr>
        <w:pStyle w:val="Heading2"/>
      </w:pPr>
      <w:r>
        <w:t>3.2 Compliance</w:t>
      </w:r>
    </w:p>
    <w:p>
      <w:pPr>
        <w:pStyle w:val="ListBullet"/>
      </w:pPr>
      <w:r>
        <w:t>Framework Library — ISO 27001, SOC 2, PCI, GDPR, and custom frameworks</w:t>
      </w:r>
    </w:p>
    <w:p>
      <w:pPr>
        <w:pStyle w:val="ListBullet"/>
      </w:pPr>
      <w:r>
        <w:t>Control Library — controls mapped across multiple frameworks (test once, satisfy many)</w:t>
      </w:r>
    </w:p>
    <w:p>
      <w:pPr>
        <w:pStyle w:val="ListBullet"/>
      </w:pPr>
      <w:r>
        <w:t>Statement of Applicability (SOA)</w:t>
      </w:r>
    </w:p>
    <w:p>
      <w:pPr>
        <w:pStyle w:val="ListBullet"/>
      </w:pPr>
      <w:r>
        <w:t>Governance Documents — policies/procedures/standards with version, owner, review date</w:t>
      </w:r>
    </w:p>
    <w:p>
      <w:pPr>
        <w:pStyle w:val="ListBullet"/>
      </w:pPr>
      <w:r>
        <w:t>Evidence — controlled evidence register with assignees and due-date reminders</w:t>
      </w:r>
    </w:p>
    <w:p>
      <w:pPr>
        <w:pStyle w:val="ListBullet"/>
      </w:pPr>
      <w:r>
        <w:t>Exceptions — formal exception register with approver, expiry, and review</w:t>
      </w:r>
    </w:p>
    <w:p>
      <w:pPr>
        <w:pStyle w:val="ListBullet"/>
      </w:pPr>
      <w:r>
        <w:t>KPIs — control / risk / compliance KPIs with target and actual</w:t>
      </w:r>
    </w:p>
    <w:p>
      <w:pPr>
        <w:pStyle w:val="ListBullet"/>
      </w:pPr>
      <w:r>
        <w:t>Regulatory Intelligence — profiles tracking regulatory obligations</w:t>
      </w:r>
    </w:p>
    <w:p>
      <w:pPr>
        <w:pStyle w:val="ListBullet"/>
      </w:pPr>
      <w:r>
        <w:t>Domain &amp; Master Data — taxonomy, governance templates, evidence types</w:t>
      </w:r>
    </w:p>
    <w:p>
      <w:pPr>
        <w:pStyle w:val="Heading2"/>
      </w:pPr>
      <w:r>
        <w:t>3.3 Risk Management</w:t>
      </w:r>
    </w:p>
    <w:p>
      <w:pPr>
        <w:pStyle w:val="ListBullet"/>
      </w:pPr>
      <w:r>
        <w:t>Risk Register with assessment, response, and review history</w:t>
      </w:r>
    </w:p>
    <w:p>
      <w:pPr>
        <w:pStyle w:val="ListBullet"/>
      </w:pPr>
      <w:r>
        <w:t>Risk-Control Matrix linking risks to mitigating controls</w:t>
      </w:r>
    </w:p>
    <w:p>
      <w:pPr>
        <w:pStyle w:val="ListBullet"/>
      </w:pPr>
      <w:r>
        <w:t>Configurable scoring — impact, probability, scoring ranges</w:t>
      </w:r>
    </w:p>
    <w:p>
      <w:pPr>
        <w:pStyle w:val="ListBullet"/>
      </w:pPr>
      <w:r>
        <w:t>Risk Universe and per-process risk catalogue</w:t>
      </w:r>
    </w:p>
    <w:p>
      <w:pPr>
        <w:pStyle w:val="ListBullet"/>
      </w:pPr>
      <w:r>
        <w:t>AI-assisted risk identification from process narratives</w:t>
      </w:r>
    </w:p>
    <w:p>
      <w:pPr>
        <w:pStyle w:val="Heading2"/>
      </w:pPr>
      <w:r>
        <w:t>3.4 Asset Management</w:t>
      </w:r>
    </w:p>
    <w:p>
      <w:pPr>
        <w:pStyle w:val="ListBullet"/>
      </w:pPr>
      <w:r>
        <w:t>Asset Inventory with custom attributes</w:t>
      </w:r>
    </w:p>
    <w:p>
      <w:pPr>
        <w:pStyle w:val="ListBullet"/>
      </w:pPr>
      <w:r>
        <w:t>Asset Classification per the organisation's data classification policy</w:t>
      </w:r>
    </w:p>
    <w:p>
      <w:pPr>
        <w:pStyle w:val="ListBullet"/>
      </w:pPr>
      <w:r>
        <w:t>My Inventory — custodian view</w:t>
      </w:r>
    </w:p>
    <w:p>
      <w:pPr>
        <w:pStyle w:val="ListBullet"/>
      </w:pPr>
      <w:r>
        <w:t>Asset-to-risk and asset-to-control linking</w:t>
      </w:r>
    </w:p>
    <w:p>
      <w:pPr>
        <w:pStyle w:val="ListBullet"/>
      </w:pPr>
      <w:r>
        <w:t>Asset reports for management review</w:t>
      </w:r>
    </w:p>
    <w:p>
      <w:pPr>
        <w:pStyle w:val="Heading1"/>
      </w:pPr>
      <w:r>
        <w:t>4. Authentication &amp; Authorization</w:t>
      </w:r>
    </w:p>
    <w:p>
      <w:r>
        <w:rPr>
          <w:b w:val="0"/>
          <w:i w:val="0"/>
        </w:rPr>
        <w:t>RBAC enforced at navigation, API, and UI layers. Key GRC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Scope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Typical Use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GRCAdministrator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System / customer-account level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Onboarding, framework setup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CustomerAdministrator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Organisation-wide admin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Configuration, user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Reviewer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Cross-module read + comment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Risk / Compliance reviewers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Contributor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Edit assigned items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Risk owners, control owners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DepartmentReviewer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Department-scoped read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Functional heads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DepartmentContributor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Department-scoped edit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Departmental risk / compliance owners</w:t>
            </w:r>
          </w:p>
        </w:tc>
      </w:tr>
    </w:tbl>
    <w:p>
      <w:pPr>
        <w:pStyle w:val="Heading1"/>
      </w:pPr>
      <w:r>
        <w:t>5. Data Model (Selected Entities)</w:t>
      </w:r>
    </w:p>
    <w:p>
      <w:pPr>
        <w:pStyle w:val="ListBullet"/>
      </w:pPr>
      <w:r>
        <w:t>Organization, Department, Process, ProcessKpi</w:t>
      </w:r>
    </w:p>
    <w:p>
      <w:pPr>
        <w:pStyle w:val="ListBullet"/>
      </w:pPr>
      <w:r>
        <w:t>Bia, BiaCategory, BiaMethodology, BcpLabel</w:t>
      </w:r>
    </w:p>
    <w:p>
      <w:pPr>
        <w:pStyle w:val="ListBullet"/>
      </w:pPr>
      <w:r>
        <w:t>Framework, Control, ControlMapping, Soa</w:t>
      </w:r>
    </w:p>
    <w:p>
      <w:pPr>
        <w:pStyle w:val="ListBullet"/>
      </w:pPr>
      <w:r>
        <w:t>GovernanceDocument, GovernanceTemplate</w:t>
      </w:r>
    </w:p>
    <w:p>
      <w:pPr>
        <w:pStyle w:val="ListBullet"/>
      </w:pPr>
      <w:r>
        <w:t>Evidence, EvidenceType</w:t>
      </w:r>
    </w:p>
    <w:p>
      <w:pPr>
        <w:pStyle w:val="ListBullet"/>
      </w:pPr>
      <w:r>
        <w:t>Exception, Kpi, RegulatoryProfile</w:t>
      </w:r>
    </w:p>
    <w:p>
      <w:pPr>
        <w:pStyle w:val="ListBullet"/>
      </w:pPr>
      <w:r>
        <w:t>Risk, RiskFactor, ImpactScale, ProbabilityScale, ScoringRange, RiskControlMatrix</w:t>
      </w:r>
    </w:p>
    <w:p>
      <w:pPr>
        <w:pStyle w:val="ListBullet"/>
      </w:pPr>
      <w:r>
        <w:t>Asset, AssetClassification, AssetAttribute</w:t>
      </w:r>
    </w:p>
    <w:p>
      <w:pPr>
        <w:pStyle w:val="Heading1"/>
      </w:pPr>
      <w:r>
        <w:t>6. AI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Document Ingestion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OCR, chunking, embeddings stored in MongoDB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RAG over Governance Docs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Natural-language Q&amp;A on policies/standards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Risk Suggestions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Suggest risks from process descriptions or governance text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Translation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Dynamic translation of user-entered data into Arabic/Latvian on create/edit</w:t>
            </w:r>
          </w:p>
        </w:tc>
      </w:tr>
    </w:tbl>
    <w:p>
      <w:pPr>
        <w:pStyle w:val="Heading1"/>
      </w:pPr>
      <w:r>
        <w:t>7. Security</w:t>
      </w:r>
    </w:p>
    <w:p>
      <w:pPr>
        <w:pStyle w:val="ListBullet"/>
      </w:pPr>
      <w:r>
        <w:t>TLS 1.2+ everywhere</w:t>
      </w:r>
    </w:p>
    <w:p>
      <w:pPr>
        <w:pStyle w:val="ListBullet"/>
      </w:pPr>
      <w:r>
        <w:t>AES-256-GCM field-level encryption for sensitive Bytes columns</w:t>
      </w:r>
    </w:p>
    <w:p>
      <w:pPr>
        <w:pStyle w:val="ListBullet"/>
      </w:pPr>
      <w:r>
        <w:t>Encryption kill switch via ENCRYPTION_ENABLED env var per app</w:t>
      </w:r>
    </w:p>
    <w:p>
      <w:pPr>
        <w:pStyle w:val="ListBullet"/>
      </w:pPr>
      <w:r>
        <w:t>Bcrypt password hashing; configurable password policy</w:t>
      </w:r>
    </w:p>
    <w:p>
      <w:pPr>
        <w:pStyle w:val="ListBullet"/>
      </w:pPr>
      <w:r>
        <w:t>Activity log for every state-changing API</w:t>
      </w:r>
    </w:p>
    <w:p>
      <w:pPr>
        <w:pStyle w:val="ListBullet"/>
      </w:pPr>
      <w:r>
        <w:t>Secrets stored encrypted on DigitalOcean — never in git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Compliance Mapping</w:t>
              <w:br/>
            </w:r>
            <w:r>
              <w:rPr>
                <w:color w:val="1F2A44"/>
                <w:sz w:val="21"/>
              </w:rPr>
              <w:t>Maps to ISO 27001 A.5, A.6, A.8, A.9, A.10, A.12, A.18; SOC 2 CC1–CC9; GDPR Art. 32; PCI DSS Req. 3, 4, 7, 10.</w:t>
            </w:r>
          </w:p>
        </w:tc>
      </w:tr>
    </w:tbl>
    <w:p>
      <w:pPr>
        <w:pStyle w:val="Heading1"/>
      </w:pPr>
      <w:r>
        <w:t>8. Integration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Integration</w:t>
            </w:r>
          </w:p>
        </w:tc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SSO (SAML / OIDC)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Inbound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Optional via NextAuth custom provider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SMTP</w:t>
            </w:r>
          </w:p>
        </w:tc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  <w:shd w:val="clear" w:color="auto" w:fill="F2F5FB"/>
          </w:tcPr>
          <w:p>
            <w:r/>
            <w:r>
              <w:rPr>
                <w:sz w:val="21"/>
              </w:rPr>
              <w:t>Reminders, escalations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Object Storage (S3-compatible)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Bi-directional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Evidence and document storage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BI / Analytics</w:t>
            </w:r>
          </w:p>
        </w:tc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  <w:shd w:val="clear" w:color="auto" w:fill="F2F5FB"/>
          </w:tcPr>
          <w:p>
            <w:r/>
            <w:r>
              <w:rPr>
                <w:sz w:val="21"/>
              </w:rPr>
              <w:t>Read-replica or scheduled export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SIEM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Activity log streaming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ITSM (ServiceNow / Jira)</w:t>
            </w:r>
          </w:p>
        </w:tc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  <w:shd w:val="clear" w:color="auto" w:fill="F2F5FB"/>
          </w:tcPr>
          <w:p>
            <w:r/>
            <w:r>
              <w:rPr>
                <w:sz w:val="21"/>
              </w:rPr>
              <w:t>Action / exception webhooks (roadmap)</w:t>
            </w:r>
          </w:p>
        </w:tc>
      </w:tr>
    </w:tbl>
    <w:p>
      <w:pPr>
        <w:pStyle w:val="Heading1"/>
      </w:pPr>
      <w:r>
        <w:t>9. Scheduled Jobs</w:t>
      </w:r>
    </w:p>
    <w:p>
      <w:pPr>
        <w:pStyle w:val="ListBullet"/>
      </w:pPr>
      <w:r>
        <w:t>Daily 08:00 UTC — /api/cron/due-reminders: evidence due, policy reviews due, CAPA due</w:t>
      </w:r>
    </w:p>
    <w:p>
      <w:pPr>
        <w:pStyle w:val="ListBullet"/>
      </w:pPr>
      <w:r>
        <w:t>Configurable escalation per evidence or policy item</w:t>
      </w:r>
    </w:p>
    <w:p>
      <w:pPr>
        <w:pStyle w:val="Heading1"/>
      </w:pPr>
      <w:r>
        <w:t>10. Internationalisation</w:t>
      </w:r>
    </w:p>
    <w:p>
      <w:r>
        <w:rPr>
          <w:b w:val="0"/>
          <w:i w:val="0"/>
        </w:rPr>
        <w:t>English, Arabic (RTL), and Latvian (LTR) ship in the box. Static strings via phrase-based t(); user data via dynamic translation on create/edit only.</w:t>
      </w:r>
    </w:p>
    <w:p>
      <w:pPr>
        <w:pStyle w:val="Heading1"/>
      </w:pPr>
      <w:r>
        <w:t>11. Non-Functional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5953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Page load (P95)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&lt; 2.0 s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API response (P95)</w:t>
            </w:r>
          </w:p>
        </w:tc>
        <w:tc>
          <w:tcPr>
            <w:tcW w:type="dxa" w:w="5953"/>
            <w:shd w:val="clear" w:color="auto" w:fill="F2F5FB"/>
          </w:tcPr>
          <w:p>
            <w:r/>
            <w:r>
              <w:rPr>
                <w:sz w:val="21"/>
              </w:rPr>
              <w:t>&lt; 600 ms read, &lt; 1.5 s write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Concurrent users per tenant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500+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Uptime SLA</w:t>
            </w:r>
          </w:p>
        </w:tc>
        <w:tc>
          <w:tcPr>
            <w:tcW w:type="dxa" w:w="5953"/>
            <w:shd w:val="clear" w:color="auto" w:fill="F2F5FB"/>
          </w:tcPr>
          <w:p>
            <w:r/>
            <w:r>
              <w:rPr>
                <w:sz w:val="21"/>
              </w:rPr>
              <w:t>99.5% UAT, 99.9% Prod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RPO / RTO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RPO 24 h, RTO 4 h</w:t>
            </w:r>
          </w:p>
        </w:tc>
      </w:tr>
    </w:tbl>
    <w:p>
      <w:pPr>
        <w:pStyle w:val="Heading1"/>
      </w:pPr>
      <w:r>
        <w:t>12.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Term</w:t>
            </w:r>
          </w:p>
        </w:tc>
        <w:tc>
          <w:tcPr>
            <w:tcW w:type="dxa" w:w="6803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SOA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Statement of Applicability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BIA</w:t>
            </w:r>
          </w:p>
        </w:tc>
        <w:tc>
          <w:tcPr>
            <w:tcW w:type="dxa" w:w="6803"/>
            <w:shd w:val="clear" w:color="auto" w:fill="F2F5FB"/>
          </w:tcPr>
          <w:p>
            <w:r/>
            <w:r>
              <w:rPr>
                <w:sz w:val="21"/>
              </w:rPr>
              <w:t>Business Impact Analysis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BCP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Business Continuity Plan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RCM</w:t>
            </w:r>
          </w:p>
        </w:tc>
        <w:tc>
          <w:tcPr>
            <w:tcW w:type="dxa" w:w="6803"/>
            <w:shd w:val="clear" w:color="auto" w:fill="F2F5FB"/>
          </w:tcPr>
          <w:p>
            <w:r/>
            <w:r>
              <w:rPr>
                <w:sz w:val="21"/>
              </w:rPr>
              <w:t>Risk-Control Matrix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RBAC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Role-Based Access Control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88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