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1E88E5"/>
          <w:sz w:val="28"/>
        </w:rPr>
        <w:t>GRC PLATFORM</w:t>
      </w:r>
    </w:p>
    <w:p>
      <w:pPr>
        <w:jc w:val="center"/>
      </w:pPr>
      <w:r>
        <w:rPr>
          <w:b/>
          <w:color w:val="0B3D91"/>
          <w:sz w:val="72"/>
        </w:rPr>
        <w:t>Unique Selling Propositions</w:t>
      </w:r>
    </w:p>
    <w:p>
      <w:pPr>
        <w:jc w:val="center"/>
        <w:pBdr>
          <w:bottom w:val="single" w:sz="8" w:space="1" w:color="1E88E5"/>
        </w:pBdr>
      </w:pPr>
    </w:p>
    <w:p>
      <w:pPr>
        <w:jc w:val="center"/>
      </w:pPr>
      <w:r>
        <w:rPr>
          <w:i/>
          <w:color w:val="555F77"/>
          <w:sz w:val="28"/>
        </w:rPr>
        <w:t>What makes this GRC platform different — and why that matters</w:t>
      </w:r>
    </w:p>
    <w:p>
      <w:pPr>
        <w:jc w:val="center"/>
      </w:pPr>
      <w:r>
        <w:rPr>
          <w:color w:val="555F77"/>
          <w:sz w:val="22"/>
        </w:rPr>
        <w:br/>
        <w:br/>
        <w:t>Glimmora International</w:t>
        <w:br/>
        <w:t>info@glimmora.ai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>Most GRC tools fall into one of three traps: they cover one pillar well (usually compliance) and bolt on the others; they are configurable to the point of being unusable; or they are aged monoliths that predate modern web engineering. Our platform avoids all three by covering Organization, Compliance, Risk, and Assets natively on a single modern stack, with shared taxonomy and embedded AI.</w:t>
      </w:r>
    </w:p>
    <w:p>
      <w:pPr>
        <w:pStyle w:val="Heading1"/>
      </w:pPr>
      <w:r>
        <w:t>2. USP 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567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3118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USP</w:t>
            </w:r>
          </w:p>
        </w:tc>
        <w:tc>
          <w:tcPr>
            <w:tcW w:type="dxa" w:w="5102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Buyer Value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Four pillars on one stack with shared taxonomy</w:t>
            </w:r>
          </w:p>
        </w:tc>
        <w:tc>
          <w:tcPr>
            <w:tcW w:type="dxa" w:w="5102"/>
          </w:tcPr>
          <w:p>
            <w:r/>
            <w:r>
              <w:rPr>
                <w:sz w:val="21"/>
              </w:rPr>
              <w:t>No data silos, no duplicated taxonomies</w:t>
            </w:r>
          </w:p>
        </w:tc>
      </w:tr>
      <w:tr>
        <w:tc>
          <w:tcPr>
            <w:tcW w:type="dxa" w:w="567"/>
            <w:shd w:val="clear" w:color="auto" w:fill="F2F5FB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3118"/>
            <w:shd w:val="clear" w:color="auto" w:fill="F2F5FB"/>
          </w:tcPr>
          <w:p>
            <w:r/>
            <w:r>
              <w:rPr>
                <w:sz w:val="21"/>
              </w:rPr>
              <w:t>Test once, satisfy many (control-framework mapping)</w:t>
            </w:r>
          </w:p>
        </w:tc>
        <w:tc>
          <w:tcPr>
            <w:tcW w:type="dxa" w:w="5102"/>
            <w:shd w:val="clear" w:color="auto" w:fill="F2F5FB"/>
          </w:tcPr>
          <w:p>
            <w:r/>
            <w:r>
              <w:rPr>
                <w:sz w:val="21"/>
              </w:rPr>
              <w:t>Massive compliance leverage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Risk-Control Matrix built into the data model</w:t>
            </w:r>
          </w:p>
        </w:tc>
        <w:tc>
          <w:tcPr>
            <w:tcW w:type="dxa" w:w="5102"/>
          </w:tcPr>
          <w:p>
            <w:r/>
            <w:r>
              <w:rPr>
                <w:sz w:val="21"/>
              </w:rPr>
              <w:t>Coverage and gaps are visible by design</w:t>
            </w:r>
          </w:p>
        </w:tc>
      </w:tr>
      <w:tr>
        <w:tc>
          <w:tcPr>
            <w:tcW w:type="dxa" w:w="567"/>
            <w:shd w:val="clear" w:color="auto" w:fill="F2F5FB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3118"/>
            <w:shd w:val="clear" w:color="auto" w:fill="F2F5FB"/>
          </w:tcPr>
          <w:p>
            <w:r/>
            <w:r>
              <w:rPr>
                <w:sz w:val="21"/>
              </w:rPr>
              <w:t>Structured BIA tied to process catalogue</w:t>
            </w:r>
          </w:p>
        </w:tc>
        <w:tc>
          <w:tcPr>
            <w:tcW w:type="dxa" w:w="5102"/>
            <w:shd w:val="clear" w:color="auto" w:fill="F2F5FB"/>
          </w:tcPr>
          <w:p>
            <w:r/>
            <w:r>
              <w:rPr>
                <w:sz w:val="21"/>
              </w:rPr>
              <w:t>Continuity is data-driven, not a Word doc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Asset inventory linked to risks and controls</w:t>
            </w:r>
          </w:p>
        </w:tc>
        <w:tc>
          <w:tcPr>
            <w:tcW w:type="dxa" w:w="5102"/>
          </w:tcPr>
          <w:p>
            <w:r/>
            <w:r>
              <w:rPr>
                <w:sz w:val="21"/>
              </w:rPr>
              <w:t>Full chain of accountability</w:t>
            </w:r>
          </w:p>
        </w:tc>
      </w:tr>
      <w:tr>
        <w:tc>
          <w:tcPr>
            <w:tcW w:type="dxa" w:w="567"/>
            <w:shd w:val="clear" w:color="auto" w:fill="F2F5FB"/>
          </w:tcPr>
          <w:p>
            <w:r/>
            <w:r>
              <w:rPr>
                <w:sz w:val="21"/>
              </w:rPr>
              <w:t>6</w:t>
            </w:r>
          </w:p>
        </w:tc>
        <w:tc>
          <w:tcPr>
            <w:tcW w:type="dxa" w:w="3118"/>
            <w:shd w:val="clear" w:color="auto" w:fill="F2F5FB"/>
          </w:tcPr>
          <w:p>
            <w:r/>
            <w:r>
              <w:rPr>
                <w:sz w:val="21"/>
              </w:rPr>
              <w:t>AI for policy Q&amp;A, risk suggestion, translation</w:t>
            </w:r>
          </w:p>
        </w:tc>
        <w:tc>
          <w:tcPr>
            <w:tcW w:type="dxa" w:w="5102"/>
            <w:shd w:val="clear" w:color="auto" w:fill="F2F5FB"/>
          </w:tcPr>
          <w:p>
            <w:r/>
            <w:r>
              <w:rPr>
                <w:sz w:val="21"/>
              </w:rPr>
              <w:t>Real productivity, not theatre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1"/>
              </w:rPr>
              <w:t>7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Native multilingual (EN / AR-RTL / LV)</w:t>
            </w:r>
          </w:p>
        </w:tc>
        <w:tc>
          <w:tcPr>
            <w:tcW w:type="dxa" w:w="5102"/>
          </w:tcPr>
          <w:p>
            <w:r/>
            <w:r>
              <w:rPr>
                <w:sz w:val="21"/>
              </w:rPr>
              <w:t>Regional deployment without translation projects</w:t>
            </w:r>
          </w:p>
        </w:tc>
      </w:tr>
      <w:tr>
        <w:tc>
          <w:tcPr>
            <w:tcW w:type="dxa" w:w="567"/>
            <w:shd w:val="clear" w:color="auto" w:fill="F2F5FB"/>
          </w:tcPr>
          <w:p>
            <w:r/>
            <w:r>
              <w:rPr>
                <w:sz w:val="21"/>
              </w:rPr>
              <w:t>8</w:t>
            </w:r>
          </w:p>
        </w:tc>
        <w:tc>
          <w:tcPr>
            <w:tcW w:type="dxa" w:w="3118"/>
            <w:shd w:val="clear" w:color="auto" w:fill="F2F5FB"/>
          </w:tcPr>
          <w:p>
            <w:r/>
            <w:r>
              <w:rPr>
                <w:sz w:val="21"/>
              </w:rPr>
              <w:t>Multi-tenant + single-tenant from same codebase</w:t>
            </w:r>
          </w:p>
        </w:tc>
        <w:tc>
          <w:tcPr>
            <w:tcW w:type="dxa" w:w="5102"/>
            <w:shd w:val="clear" w:color="auto" w:fill="F2F5FB"/>
          </w:tcPr>
          <w:p>
            <w:r/>
            <w:r>
              <w:rPr>
                <w:sz w:val="21"/>
              </w:rPr>
              <w:t>Same product, your choice of deployment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1"/>
              </w:rPr>
              <w:t>9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Encryption + RBAC built in</w:t>
            </w:r>
          </w:p>
        </w:tc>
        <w:tc>
          <w:tcPr>
            <w:tcW w:type="dxa" w:w="5102"/>
          </w:tcPr>
          <w:p>
            <w:r/>
            <w:r>
              <w:rPr>
                <w:sz w:val="21"/>
              </w:rPr>
              <w:t>Passes infosec review on first pass</w:t>
            </w:r>
          </w:p>
        </w:tc>
      </w:tr>
      <w:tr>
        <w:tc>
          <w:tcPr>
            <w:tcW w:type="dxa" w:w="567"/>
            <w:shd w:val="clear" w:color="auto" w:fill="F2F5FB"/>
          </w:tcPr>
          <w:p>
            <w:r/>
            <w:r>
              <w:rPr>
                <w:sz w:val="21"/>
              </w:rPr>
              <w:t>10</w:t>
            </w:r>
          </w:p>
        </w:tc>
        <w:tc>
          <w:tcPr>
            <w:tcW w:type="dxa" w:w="3118"/>
            <w:shd w:val="clear" w:color="auto" w:fill="F2F5FB"/>
          </w:tcPr>
          <w:p>
            <w:r/>
            <w:r>
              <w:rPr>
                <w:sz w:val="21"/>
              </w:rPr>
              <w:t>Modern stack with single-branch UAT/Prod gating</w:t>
            </w:r>
          </w:p>
        </w:tc>
        <w:tc>
          <w:tcPr>
            <w:tcW w:type="dxa" w:w="5102"/>
            <w:shd w:val="clear" w:color="auto" w:fill="F2F5FB"/>
          </w:tcPr>
          <w:p>
            <w:r/>
            <w:r>
              <w:rPr>
                <w:sz w:val="21"/>
              </w:rPr>
              <w:t>Faster cadence, safer rollouts</w:t>
            </w:r>
          </w:p>
        </w:tc>
      </w:tr>
    </w:tbl>
    <w:p>
      <w:pPr>
        <w:pStyle w:val="Heading1"/>
      </w:pPr>
      <w:r>
        <w:t>3. USPs in Detail</w:t>
      </w:r>
    </w:p>
    <w:p>
      <w:pPr>
        <w:pStyle w:val="Heading2"/>
      </w:pPr>
      <w:r>
        <w:t>3.1 Four Pillars, One Stack, One Taxonomy</w:t>
      </w:r>
    </w:p>
    <w:p>
      <w:r>
        <w:rPr>
          <w:b w:val="0"/>
          <w:i w:val="0"/>
        </w:rPr>
        <w:t>Organization, Compliance, Risk, and Assets share the same process, department, owner, and asset references. A change in one pillar propagates to the others automatically.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5FB"/>
          </w:tcPr>
          <w:p>
            <w:r/>
            <w:r>
              <w:rPr>
                <w:b/>
                <w:color w:val="0B3D91"/>
                <w:sz w:val="22"/>
              </w:rPr>
              <w:t>Why it matters</w:t>
              <w:br/>
            </w:r>
            <w:r>
              <w:rPr>
                <w:color w:val="1F2A44"/>
                <w:sz w:val="21"/>
              </w:rPr>
              <w:t>No more 'what is the latest version of the risk register' debates.</w:t>
            </w:r>
          </w:p>
        </w:tc>
      </w:tr>
    </w:tbl>
    <w:p>
      <w:pPr>
        <w:pStyle w:val="Heading2"/>
      </w:pPr>
      <w:r>
        <w:t>3.2 Test Once, Satisfy Many</w:t>
      </w:r>
    </w:p>
    <w:p>
      <w:r>
        <w:rPr>
          <w:b w:val="0"/>
          <w:i w:val="0"/>
        </w:rPr>
        <w:t>Controls are mapped across frameworks in the Control Library. Evidence collected for one framework is automatically credited against every other framework that maps to the same control.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5FB"/>
          </w:tcPr>
          <w:p>
            <w:r/>
            <w:r>
              <w:rPr>
                <w:b/>
                <w:color w:val="0B3D91"/>
                <w:sz w:val="22"/>
              </w:rPr>
              <w:t>Why it matters</w:t>
              <w:br/>
            </w:r>
            <w:r>
              <w:rPr>
                <w:color w:val="1F2A44"/>
                <w:sz w:val="21"/>
              </w:rPr>
              <w:t>External-audit prep collapses from weeks to days; duplicated evidence collection is eliminated.</w:t>
            </w:r>
          </w:p>
        </w:tc>
      </w:tr>
    </w:tbl>
    <w:p>
      <w:pPr>
        <w:pStyle w:val="Heading2"/>
      </w:pPr>
      <w:r>
        <w:t>3.3 Risk-Control Matrix Built In</w:t>
      </w:r>
    </w:p>
    <w:p>
      <w:r>
        <w:rPr>
          <w:b w:val="0"/>
          <w:i w:val="0"/>
        </w:rPr>
        <w:t>The RCM is a first-class table, not a report. Every risk shows its mitigating controls and every control shows the risks it covers. Gaps are queryable and visible on dashboards.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5FB"/>
          </w:tcPr>
          <w:p>
            <w:r/>
            <w:r>
              <w:rPr>
                <w:b/>
                <w:color w:val="0B3D91"/>
                <w:sz w:val="22"/>
              </w:rPr>
              <w:t>Why it matters</w:t>
              <w:br/>
            </w:r>
            <w:r>
              <w:rPr>
                <w:color w:val="1F2A44"/>
                <w:sz w:val="21"/>
              </w:rPr>
              <w:t>CROs can prove coverage to the Board, not just claim it.</w:t>
            </w:r>
          </w:p>
        </w:tc>
      </w:tr>
    </w:tbl>
    <w:p>
      <w:pPr>
        <w:pStyle w:val="Heading2"/>
      </w:pPr>
      <w:r>
        <w:t>3.4 BIA Tied to the Process Catalogue</w:t>
      </w:r>
    </w:p>
    <w:p>
      <w:r>
        <w:rPr>
          <w:b w:val="0"/>
          <w:i w:val="0"/>
        </w:rPr>
        <w:t>Business Impact Analysis is captured per process using a configurable methodology and categories. BCP labels are derived from BIA outcomes and propagate to risk and audit prioritisation.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5FB"/>
          </w:tcPr>
          <w:p>
            <w:r/>
            <w:r>
              <w:rPr>
                <w:b/>
                <w:color w:val="0B3D91"/>
                <w:sz w:val="22"/>
              </w:rPr>
              <w:t>Why it matters</w:t>
              <w:br/>
            </w:r>
            <w:r>
              <w:rPr>
                <w:color w:val="1F2A44"/>
                <w:sz w:val="21"/>
              </w:rPr>
              <w:t>Continuity planning becomes operational, not a once-a-year exercise.</w:t>
            </w:r>
          </w:p>
        </w:tc>
      </w:tr>
    </w:tbl>
    <w:p>
      <w:pPr>
        <w:pStyle w:val="Heading2"/>
      </w:pPr>
      <w:r>
        <w:t>3.5 Asset Inventory With Real Linkages</w:t>
      </w:r>
    </w:p>
    <w:p>
      <w:r>
        <w:rPr>
          <w:b w:val="0"/>
          <w:i w:val="0"/>
        </w:rPr>
        <w:t>Assets are not a parallel inventory — they are linked to the processes they support, the risks that threaten them, and the controls that protect them. My Inventory gives custodians a personal view.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5FB"/>
          </w:tcPr>
          <w:p>
            <w:r/>
            <w:r>
              <w:rPr>
                <w:b/>
                <w:color w:val="0B3D91"/>
                <w:sz w:val="22"/>
              </w:rPr>
              <w:t>Why it matters</w:t>
              <w:br/>
            </w:r>
            <w:r>
              <w:rPr>
                <w:color w:val="1F2A44"/>
                <w:sz w:val="21"/>
              </w:rPr>
              <w:t>Information-security audits move faster because the chain is intact.</w:t>
            </w:r>
          </w:p>
        </w:tc>
      </w:tr>
    </w:tbl>
    <w:p>
      <w:pPr>
        <w:pStyle w:val="Heading2"/>
      </w:pPr>
      <w:r>
        <w:t>3.6 AI That Pulls Its Weight</w:t>
      </w:r>
    </w:p>
    <w:p>
      <w:r>
        <w:rPr>
          <w:b w:val="0"/>
          <w:i w:val="0"/>
        </w:rPr>
        <w:t>RAG over governance documents lets staff ask 'What is our incident response SLA?' and get a cited answer. Risk suggestions surface risks the team missed. Translation is automatic on create/edit.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5FB"/>
          </w:tcPr>
          <w:p>
            <w:r/>
            <w:r>
              <w:rPr>
                <w:b/>
                <w:color w:val="0B3D91"/>
                <w:sz w:val="22"/>
              </w:rPr>
              <w:t>Why it matters</w:t>
              <w:br/>
            </w:r>
            <w:r>
              <w:rPr>
                <w:color w:val="1F2A44"/>
                <w:sz w:val="21"/>
              </w:rPr>
              <w:t>AI saves hours per user per week, every week — not just at demo time.</w:t>
            </w:r>
          </w:p>
        </w:tc>
      </w:tr>
    </w:tbl>
    <w:p>
      <w:pPr>
        <w:pStyle w:val="Heading2"/>
      </w:pPr>
      <w:r>
        <w:t>3.7 Multilingual From Day One</w:t>
      </w:r>
    </w:p>
    <w:p>
      <w:r>
        <w:rPr>
          <w:b w:val="0"/>
          <w:i w:val="0"/>
        </w:rPr>
        <w:t>English, Arabic (RTL), and Latvian (LTR) ship in the box. New languages can be added without code changes.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5FB"/>
          </w:tcPr>
          <w:p>
            <w:r/>
            <w:r>
              <w:rPr>
                <w:b/>
                <w:color w:val="0B3D91"/>
                <w:sz w:val="22"/>
              </w:rPr>
              <w:t>Why it matters</w:t>
              <w:br/>
            </w:r>
            <w:r>
              <w:rPr>
                <w:color w:val="1F2A44"/>
                <w:sz w:val="21"/>
              </w:rPr>
              <w:t>Native experience for Gulf and Baltic markets — a competitive moat in those regions.</w:t>
            </w:r>
          </w:p>
        </w:tc>
      </w:tr>
    </w:tbl>
    <w:p>
      <w:pPr>
        <w:pStyle w:val="Heading2"/>
      </w:pPr>
      <w:r>
        <w:t>3.8 Multi-Tenant + Single-Tenant</w:t>
      </w:r>
    </w:p>
    <w:p>
      <w:r>
        <w:rPr>
          <w:b w:val="0"/>
          <w:i w:val="0"/>
        </w:rPr>
        <w:t>The data model is multi-tenant from the schema up. The same product can be deployed as single-tenant on the customer's cloud with no code fork.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5FB"/>
          </w:tcPr>
          <w:p>
            <w:r/>
            <w:r>
              <w:rPr>
                <w:b/>
                <w:color w:val="0B3D91"/>
                <w:sz w:val="22"/>
              </w:rPr>
              <w:t>Why it matters</w:t>
              <w:br/>
            </w:r>
            <w:r>
              <w:rPr>
                <w:color w:val="1F2A44"/>
                <w:sz w:val="21"/>
              </w:rPr>
              <w:t>Buyers don't have to choose between shared SaaS and bespoke hosting.</w:t>
            </w:r>
          </w:p>
        </w:tc>
      </w:tr>
    </w:tbl>
    <w:p>
      <w:pPr>
        <w:pStyle w:val="Heading2"/>
      </w:pPr>
      <w:r>
        <w:t>3.9 Security Built In</w:t>
      </w:r>
    </w:p>
    <w:p>
      <w:r>
        <w:rPr>
          <w:b w:val="0"/>
          <w:i w:val="0"/>
        </w:rPr>
        <w:t>AES-256-GCM field-level encryption, TLS 1.2+, RBAC at three layers, and a documented 90-day key rotation runbook. Encryption can be toggled per environment.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5FB"/>
          </w:tcPr>
          <w:p>
            <w:r/>
            <w:r>
              <w:rPr>
                <w:b/>
                <w:color w:val="0B3D91"/>
                <w:sz w:val="22"/>
              </w:rPr>
              <w:t>Why it matters</w:t>
              <w:br/>
            </w:r>
            <w:r>
              <w:rPr>
                <w:color w:val="1F2A44"/>
                <w:sz w:val="21"/>
              </w:rPr>
              <w:t>Passes most infosec reviews on first pass; reduces sales cycle by weeks.</w:t>
            </w:r>
          </w:p>
        </w:tc>
      </w:tr>
    </w:tbl>
    <w:p>
      <w:pPr>
        <w:pStyle w:val="Heading2"/>
      </w:pPr>
      <w:r>
        <w:t>3.10 Modern Stack + Single-Branch Gating</w:t>
      </w:r>
    </w:p>
    <w:p>
      <w:r>
        <w:rPr>
          <w:b w:val="0"/>
          <w:i w:val="0"/>
        </w:rPr>
        <w:t>Next.js 16, React 19, Prisma 6, PostgreSQL, Python FastAPI. A single GRC-MultiTenant branch deploys to both UAT and Production with per-app feature flags.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5FB"/>
          </w:tcPr>
          <w:p>
            <w:r/>
            <w:r>
              <w:rPr>
                <w:b/>
                <w:color w:val="0B3D91"/>
                <w:sz w:val="22"/>
              </w:rPr>
              <w:t>Why it matters</w:t>
              <w:br/>
            </w:r>
            <w:r>
              <w:rPr>
                <w:color w:val="1F2A44"/>
                <w:sz w:val="21"/>
              </w:rPr>
              <w:t>Faster release cadence with lower change-failure rate; cheaper customisations than legacy platforms.</w:t>
            </w:r>
          </w:p>
        </w:tc>
      </w:tr>
    </w:tbl>
    <w:p>
      <w:pPr>
        <w:pStyle w:val="Heading1"/>
      </w:pPr>
      <w:r>
        <w:t>4. Competitive Positioning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118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Capability</w:t>
            </w:r>
          </w:p>
        </w:tc>
        <w:tc>
          <w:tcPr>
            <w:tcW w:type="dxa" w:w="1701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Compliance-only Tools</w:t>
            </w:r>
          </w:p>
        </w:tc>
        <w:tc>
          <w:tcPr>
            <w:tcW w:type="dxa" w:w="1701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Legacy GRC Suites</w:t>
            </w:r>
          </w:p>
        </w:tc>
        <w:tc>
          <w:tcPr>
            <w:tcW w:type="dxa" w:w="2268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Glimmora GRC Platform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1"/>
              </w:rPr>
              <w:t>All four pillars natively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No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Partial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Yes</w:t>
            </w:r>
          </w:p>
        </w:tc>
      </w:tr>
      <w:tr>
        <w:tc>
          <w:tcPr>
            <w:tcW w:type="dxa" w:w="3118"/>
            <w:shd w:val="clear" w:color="auto" w:fill="F2F5FB"/>
          </w:tcPr>
          <w:p>
            <w:r/>
            <w:r>
              <w:rPr>
                <w:sz w:val="21"/>
              </w:rPr>
              <w:t>Shared taxonomy</w:t>
            </w:r>
          </w:p>
        </w:tc>
        <w:tc>
          <w:tcPr>
            <w:tcW w:type="dxa" w:w="1701"/>
            <w:shd w:val="clear" w:color="auto" w:fill="F2F5FB"/>
          </w:tcPr>
          <w:p>
            <w:r/>
            <w:r>
              <w:rPr>
                <w:sz w:val="21"/>
              </w:rPr>
              <w:t>No</w:t>
            </w:r>
          </w:p>
        </w:tc>
        <w:tc>
          <w:tcPr>
            <w:tcW w:type="dxa" w:w="1701"/>
            <w:shd w:val="clear" w:color="auto" w:fill="F2F5FB"/>
          </w:tcPr>
          <w:p>
            <w:r/>
            <w:r>
              <w:rPr>
                <w:sz w:val="21"/>
              </w:rPr>
              <w:t>Partial</w:t>
            </w:r>
          </w:p>
        </w:tc>
        <w:tc>
          <w:tcPr>
            <w:tcW w:type="dxa" w:w="2268"/>
            <w:shd w:val="clear" w:color="auto" w:fill="F2F5FB"/>
          </w:tcPr>
          <w:p>
            <w:r/>
            <w:r>
              <w:rPr>
                <w:sz w:val="21"/>
              </w:rPr>
              <w:t>Yes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1"/>
              </w:rPr>
              <w:t>Test-once-satisfy-many control mapping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Partial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Yes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Yes</w:t>
            </w:r>
          </w:p>
        </w:tc>
      </w:tr>
      <w:tr>
        <w:tc>
          <w:tcPr>
            <w:tcW w:type="dxa" w:w="3118"/>
            <w:shd w:val="clear" w:color="auto" w:fill="F2F5FB"/>
          </w:tcPr>
          <w:p>
            <w:r/>
            <w:r>
              <w:rPr>
                <w:sz w:val="21"/>
              </w:rPr>
              <w:t>BIA tied to process catalogue</w:t>
            </w:r>
          </w:p>
        </w:tc>
        <w:tc>
          <w:tcPr>
            <w:tcW w:type="dxa" w:w="1701"/>
            <w:shd w:val="clear" w:color="auto" w:fill="F2F5FB"/>
          </w:tcPr>
          <w:p>
            <w:r/>
            <w:r>
              <w:rPr>
                <w:sz w:val="21"/>
              </w:rPr>
              <w:t>No</w:t>
            </w:r>
          </w:p>
        </w:tc>
        <w:tc>
          <w:tcPr>
            <w:tcW w:type="dxa" w:w="1701"/>
            <w:shd w:val="clear" w:color="auto" w:fill="F2F5FB"/>
          </w:tcPr>
          <w:p>
            <w:r/>
            <w:r>
              <w:rPr>
                <w:sz w:val="21"/>
              </w:rPr>
              <w:t>Partial</w:t>
            </w:r>
          </w:p>
        </w:tc>
        <w:tc>
          <w:tcPr>
            <w:tcW w:type="dxa" w:w="2268"/>
            <w:shd w:val="clear" w:color="auto" w:fill="F2F5FB"/>
          </w:tcPr>
          <w:p>
            <w:r/>
            <w:r>
              <w:rPr>
                <w:sz w:val="21"/>
              </w:rPr>
              <w:t>Yes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1"/>
              </w:rPr>
              <w:t>Embedded AI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Bolt-on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Bolt-on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Native</w:t>
            </w:r>
          </w:p>
        </w:tc>
      </w:tr>
      <w:tr>
        <w:tc>
          <w:tcPr>
            <w:tcW w:type="dxa" w:w="3118"/>
            <w:shd w:val="clear" w:color="auto" w:fill="F2F5FB"/>
          </w:tcPr>
          <w:p>
            <w:r/>
            <w:r>
              <w:rPr>
                <w:sz w:val="21"/>
              </w:rPr>
              <w:t>Multilingual (incl. RTL)</w:t>
            </w:r>
          </w:p>
        </w:tc>
        <w:tc>
          <w:tcPr>
            <w:tcW w:type="dxa" w:w="1701"/>
            <w:shd w:val="clear" w:color="auto" w:fill="F2F5FB"/>
          </w:tcPr>
          <w:p>
            <w:r/>
            <w:r>
              <w:rPr>
                <w:sz w:val="21"/>
              </w:rPr>
              <w:t>Partial</w:t>
            </w:r>
          </w:p>
        </w:tc>
        <w:tc>
          <w:tcPr>
            <w:tcW w:type="dxa" w:w="1701"/>
            <w:shd w:val="clear" w:color="auto" w:fill="F2F5FB"/>
          </w:tcPr>
          <w:p>
            <w:r/>
            <w:r>
              <w:rPr>
                <w:sz w:val="21"/>
              </w:rPr>
              <w:t>Partial</w:t>
            </w:r>
          </w:p>
        </w:tc>
        <w:tc>
          <w:tcPr>
            <w:tcW w:type="dxa" w:w="2268"/>
            <w:shd w:val="clear" w:color="auto" w:fill="F2F5FB"/>
          </w:tcPr>
          <w:p>
            <w:r/>
            <w:r>
              <w:rPr>
                <w:sz w:val="21"/>
              </w:rPr>
              <w:t>Native, 3 languages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1"/>
              </w:rPr>
              <w:t>Multi-tenant + single-tenant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Single only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Single only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Both</w:t>
            </w:r>
          </w:p>
        </w:tc>
      </w:tr>
      <w:tr>
        <w:tc>
          <w:tcPr>
            <w:tcW w:type="dxa" w:w="3118"/>
            <w:shd w:val="clear" w:color="auto" w:fill="F2F5FB"/>
          </w:tcPr>
          <w:p>
            <w:r/>
            <w:r>
              <w:rPr>
                <w:sz w:val="21"/>
              </w:rPr>
              <w:t>Modern web stack</w:t>
            </w:r>
          </w:p>
        </w:tc>
        <w:tc>
          <w:tcPr>
            <w:tcW w:type="dxa" w:w="1701"/>
            <w:shd w:val="clear" w:color="auto" w:fill="F2F5FB"/>
          </w:tcPr>
          <w:p>
            <w:r/>
            <w:r>
              <w:rPr>
                <w:sz w:val="21"/>
              </w:rPr>
              <w:t>Sometimes</w:t>
            </w:r>
          </w:p>
        </w:tc>
        <w:tc>
          <w:tcPr>
            <w:tcW w:type="dxa" w:w="1701"/>
            <w:shd w:val="clear" w:color="auto" w:fill="F2F5FB"/>
          </w:tcPr>
          <w:p>
            <w:r/>
            <w:r>
              <w:rPr>
                <w:sz w:val="21"/>
              </w:rPr>
              <w:t>Rarely</w:t>
            </w:r>
          </w:p>
        </w:tc>
        <w:tc>
          <w:tcPr>
            <w:tcW w:type="dxa" w:w="2268"/>
            <w:shd w:val="clear" w:color="auto" w:fill="F2F5FB"/>
          </w:tcPr>
          <w:p>
            <w:r/>
            <w:r>
              <w:rPr>
                <w:sz w:val="21"/>
              </w:rPr>
              <w:t>Yes (Next.js 16)</w:t>
            </w:r>
          </w:p>
        </w:tc>
      </w:tr>
    </w:tbl>
    <w:p>
      <w:pPr>
        <w:pStyle w:val="Heading1"/>
      </w:pPr>
      <w:r>
        <w:t>5. Closing Statement</w:t>
      </w:r>
    </w:p>
    <w:p>
      <w:r>
        <w:rPr>
          <w:b w:val="0"/>
          <w:i w:val="0"/>
        </w:rPr>
        <w:t>GRC is not a feature you bolt on — it is a discipline. The Glimmora GRC Platform respects that by offering one shared system for the four pillars that actually constitute GRC, built on a stack and a security posture that your infosec team will sign off on. For organisations that take governance seriously, that combination is rare and valuable.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3D9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3D9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88E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