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1E88E5"/>
          <w:sz w:val="28"/>
        </w:rPr>
        <w:t>INTERNAL AUDIT PLATFORM</w:t>
      </w:r>
    </w:p>
    <w:p>
      <w:pPr>
        <w:jc w:val="center"/>
      </w:pPr>
      <w:r>
        <w:rPr>
          <w:b/>
          <w:color w:val="0B3D91"/>
          <w:sz w:val="72"/>
        </w:rPr>
        <w:t>Target Audience</w:t>
      </w:r>
    </w:p>
    <w:p>
      <w:pPr>
        <w:jc w:val="center"/>
        <w:pBdr>
          <w:bottom w:val="single" w:sz="8" w:space="1" w:color="1E88E5"/>
        </w:pBdr>
      </w:pPr>
    </w:p>
    <w:p>
      <w:pPr>
        <w:jc w:val="center"/>
      </w:pPr>
      <w:r>
        <w:rPr>
          <w:i/>
          <w:color w:val="555F77"/>
          <w:sz w:val="28"/>
        </w:rPr>
        <w:t>Who this platform serves and the value it delivers to each persona</w:t>
      </w:r>
    </w:p>
    <w:p>
      <w:pPr>
        <w:jc w:val="center"/>
      </w:pPr>
      <w:r>
        <w:rPr>
          <w:color w:val="555F77"/>
          <w:sz w:val="22"/>
        </w:rPr>
        <w:br/>
        <w:br/>
        <w:t>Glimmora International</w:t>
        <w:br/>
        <w:t>info@glimmora.ai</w:t>
      </w:r>
    </w:p>
    <w:p>
      <w:r>
        <w:br w:type="page"/>
      </w:r>
    </w:p>
    <w:p>
      <w:pPr>
        <w:pStyle w:val="Heading1"/>
      </w:pPr>
      <w:r>
        <w:t>1. Purpose of This Document</w:t>
      </w:r>
    </w:p>
    <w:p>
      <w:r>
        <w:rPr>
          <w:b w:val="0"/>
          <w:i w:val="0"/>
        </w:rPr>
        <w:t>This document identifies the primary and secondary audiences for the Glimmora Internal Audit Platform, the problems each audience faces today, and the specific capabilities the platform delivers to address those problems. It is intended for solution buyers, internal champions, sales engineers, and onboarding teams who need to map platform features to stakeholder value.</w:t>
      </w:r>
    </w:p>
    <w:p>
      <w:pPr>
        <w:pStyle w:val="Heading1"/>
      </w:pPr>
      <w:r>
        <w:t>2. Primary Audiences</w:t>
      </w:r>
    </w:p>
    <w:p>
      <w:pPr>
        <w:pStyle w:val="Heading2"/>
      </w:pPr>
      <w:r>
        <w:t>2.1 Chief Audit Executive (CAE) / Audit Head</w:t>
      </w:r>
    </w:p>
    <w:p>
      <w:r>
        <w:rPr>
          <w:b w:val="0"/>
          <w:i w:val="0"/>
        </w:rPr>
        <w:t>Owns the annual audit plan, reports to the Audit Committee, and is accountable for the independence and effectiveness of the internal audit function.</w:t>
      </w:r>
    </w:p>
    <w:p>
      <w:r>
        <w:rPr>
          <w:b/>
          <w:i w:val="0"/>
        </w:rPr>
        <w:t>Key pain points addressed:</w:t>
      </w:r>
    </w:p>
    <w:p>
      <w:pPr>
        <w:pStyle w:val="ListBullet"/>
      </w:pPr>
      <w:r>
        <w:t>Fragmented audit data across spreadsheets and email threads</w:t>
      </w:r>
    </w:p>
    <w:p>
      <w:pPr>
        <w:pStyle w:val="ListBullet"/>
      </w:pPr>
      <w:r>
        <w:t>Inability to demonstrate risk-based coverage to the Audit Committee</w:t>
      </w:r>
    </w:p>
    <w:p>
      <w:pPr>
        <w:pStyle w:val="ListBullet"/>
      </w:pPr>
      <w:r>
        <w:t>Manual consolidation of CAPA status before every board meeting</w:t>
      </w:r>
    </w:p>
    <w:p>
      <w:pPr>
        <w:pStyle w:val="ListBullet"/>
      </w:pPr>
      <w:r>
        <w:t>Lack of real-time visibility into engagement status</w:t>
      </w:r>
    </w:p>
    <w:p>
      <w:r>
        <w:rPr>
          <w:b/>
          <w:i w:val="0"/>
        </w:rPr>
        <w:t>Platform value:</w:t>
      </w:r>
    </w:p>
    <w:p>
      <w:pPr>
        <w:pStyle w:val="ListBullet"/>
      </w:pPr>
      <w:r>
        <w:t>Dashboard showing audit-plan execution, open findings by rating, and CAPA aging</w:t>
      </w:r>
    </w:p>
    <w:p>
      <w:pPr>
        <w:pStyle w:val="ListBullet"/>
      </w:pPr>
      <w:r>
        <w:t>Risk-based audit universe with AI-recommended engagements</w:t>
      </w:r>
    </w:p>
    <w:p>
      <w:pPr>
        <w:pStyle w:val="ListBullet"/>
      </w:pPr>
      <w:r>
        <w:t>One-click board-ready audit reports with charts and findings register</w:t>
      </w:r>
    </w:p>
    <w:p>
      <w:pPr>
        <w:pStyle w:val="ListBullet"/>
      </w:pPr>
      <w:r>
        <w:t>Configurable scoring ranges, risk factors, and impact/probability matrices</w:t>
      </w:r>
    </w:p>
    <w:p>
      <w:pPr>
        <w:pStyle w:val="Heading2"/>
      </w:pPr>
      <w:r>
        <w:t>2.2 Audit Manager</w:t>
      </w:r>
    </w:p>
    <w:p>
      <w:r>
        <w:rPr>
          <w:b w:val="0"/>
          <w:i w:val="0"/>
        </w:rPr>
        <w:t>Plans engagements, allocates auditors, reviews workpapers, and signs off on findings before they reach the Audit Head.</w:t>
      </w:r>
    </w:p>
    <w:p>
      <w:r>
        <w:rPr>
          <w:b/>
          <w:i w:val="0"/>
        </w:rPr>
        <w:t>Key pain points addressed:</w:t>
      </w:r>
    </w:p>
    <w:p>
      <w:pPr>
        <w:pStyle w:val="ListBullet"/>
      </w:pPr>
      <w:r>
        <w:t>Workpaper review consumes evenings and weekends</w:t>
      </w:r>
    </w:p>
    <w:p>
      <w:pPr>
        <w:pStyle w:val="ListBullet"/>
      </w:pPr>
      <w:r>
        <w:t>Evidence requests get lost in email; auditees miss deadlines</w:t>
      </w:r>
    </w:p>
    <w:p>
      <w:pPr>
        <w:pStyle w:val="ListBullet"/>
      </w:pPr>
      <w:r>
        <w:t>No standardised template for findings — quality varies by auditor</w:t>
      </w:r>
    </w:p>
    <w:p>
      <w:pPr>
        <w:pStyle w:val="ListBullet"/>
      </w:pPr>
      <w:r>
        <w:t>Difficult to track team workload and reassign engagements mid-cycle</w:t>
      </w:r>
    </w:p>
    <w:p>
      <w:r>
        <w:rPr>
          <w:b/>
          <w:i w:val="0"/>
        </w:rPr>
        <w:t>Platform value:</w:t>
      </w:r>
    </w:p>
    <w:p>
      <w:pPr>
        <w:pStyle w:val="ListBullet"/>
      </w:pPr>
      <w:r>
        <w:t>Workpaper module with version control, AI-assisted review, and inline comments</w:t>
      </w:r>
    </w:p>
    <w:p>
      <w:pPr>
        <w:pStyle w:val="ListBullet"/>
      </w:pPr>
      <w:r>
        <w:t>Evidence Request workflow with auto-reminders and escalation to auditees</w:t>
      </w:r>
    </w:p>
    <w:p>
      <w:pPr>
        <w:pStyle w:val="ListBullet"/>
      </w:pPr>
      <w:r>
        <w:t>Standardised finding templates with mandatory fields (root cause, recommendation, severity)</w:t>
      </w:r>
    </w:p>
    <w:p>
      <w:pPr>
        <w:pStyle w:val="ListBullet"/>
      </w:pPr>
      <w:r>
        <w:t>Auditor schedule view showing capacity, in-flight engagements, and overdue tasks</w:t>
      </w:r>
    </w:p>
    <w:p>
      <w:pPr>
        <w:pStyle w:val="Heading2"/>
      </w:pPr>
      <w:r>
        <w:t>2.3 Auditor (Field Auditor / Senior Auditor)</w:t>
      </w:r>
    </w:p>
    <w:p>
      <w:r>
        <w:rPr>
          <w:b w:val="0"/>
          <w:i w:val="0"/>
        </w:rPr>
        <w:t>Executes engagements end-to-end: planning meetings, fieldwork, evidence collection, control testing, and drafting findings.</w:t>
      </w:r>
    </w:p>
    <w:p>
      <w:r>
        <w:rPr>
          <w:b/>
          <w:i w:val="0"/>
        </w:rPr>
        <w:t>Key pain points addressed:</w:t>
      </w:r>
    </w:p>
    <w:p>
      <w:pPr>
        <w:pStyle w:val="ListBullet"/>
      </w:pPr>
      <w:r>
        <w:t>Re-keying the same process information across multiple audits</w:t>
      </w:r>
    </w:p>
    <w:p>
      <w:pPr>
        <w:pStyle w:val="ListBullet"/>
      </w:pPr>
      <w:r>
        <w:t>Chasing evidence from auditees by email and phone</w:t>
      </w:r>
    </w:p>
    <w:p>
      <w:pPr>
        <w:pStyle w:val="ListBullet"/>
      </w:pPr>
      <w:r>
        <w:t>Manual creation of audit programs and test scripts for every engagement</w:t>
      </w:r>
    </w:p>
    <w:p>
      <w:pPr>
        <w:pStyle w:val="ListBullet"/>
      </w:pPr>
      <w:r>
        <w:t>Hard to surface historical findings on the same process</w:t>
      </w:r>
    </w:p>
    <w:p>
      <w:r>
        <w:rPr>
          <w:b/>
          <w:i w:val="0"/>
        </w:rPr>
        <w:t>Platform value:</w:t>
      </w:r>
    </w:p>
    <w:p>
      <w:pPr>
        <w:pStyle w:val="ListBullet"/>
      </w:pPr>
      <w:r>
        <w:t>Reusable Process Universe — define a process once, reuse across engagements</w:t>
      </w:r>
    </w:p>
    <w:p>
      <w:pPr>
        <w:pStyle w:val="ListBullet"/>
      </w:pPr>
      <w:r>
        <w:t>Self-service evidence portal for auditees with deadline tracking</w:t>
      </w:r>
    </w:p>
    <w:p>
      <w:pPr>
        <w:pStyle w:val="ListBullet"/>
      </w:pPr>
      <w:r>
        <w:t>AI-generated workpapers based on process risks and historical audits</w:t>
      </w:r>
    </w:p>
    <w:p>
      <w:pPr>
        <w:pStyle w:val="ListBullet"/>
      </w:pPr>
      <w:r>
        <w:t>Document Library with full-text search across past engagements</w:t>
      </w:r>
    </w:p>
    <w:p>
      <w:pPr>
        <w:pStyle w:val="Heading2"/>
      </w:pPr>
      <w:r>
        <w:t>2.4 Auditee (Process / Control Owner)</w:t>
      </w:r>
    </w:p>
    <w:p>
      <w:r>
        <w:rPr>
          <w:b w:val="0"/>
          <w:i w:val="0"/>
        </w:rPr>
        <w:t>Receives evidence requests, responds to findings, and owns Corrective and Preventive Actions (CAPA) for issues identified in their area.</w:t>
      </w:r>
    </w:p>
    <w:p>
      <w:r>
        <w:rPr>
          <w:b/>
          <w:i w:val="0"/>
        </w:rPr>
        <w:t>Key pain points addressed:</w:t>
      </w:r>
    </w:p>
    <w:p>
      <w:pPr>
        <w:pStyle w:val="ListBullet"/>
      </w:pPr>
      <w:r>
        <w:t>Evidence requests arrive without context — what is being tested and why?</w:t>
      </w:r>
    </w:p>
    <w:p>
      <w:pPr>
        <w:pStyle w:val="ListBullet"/>
      </w:pPr>
      <w:r>
        <w:t>No single place to see all open audit actions assigned to them</w:t>
      </w:r>
    </w:p>
    <w:p>
      <w:pPr>
        <w:pStyle w:val="ListBullet"/>
      </w:pPr>
      <w:r>
        <w:t>Repeated requests for the same documents across audits</w:t>
      </w:r>
    </w:p>
    <w:p>
      <w:pPr>
        <w:pStyle w:val="ListBullet"/>
      </w:pPr>
      <w:r>
        <w:t>No visibility into how their CAPA progress is being tracked</w:t>
      </w:r>
    </w:p>
    <w:p>
      <w:r>
        <w:rPr>
          <w:b/>
          <w:i w:val="0"/>
        </w:rPr>
        <w:t>Platform value:</w:t>
      </w:r>
    </w:p>
    <w:p>
      <w:pPr>
        <w:pStyle w:val="ListBullet"/>
      </w:pPr>
      <w:r>
        <w:t>Auditee Dashboard listing open requests, findings, and CAPA actions in one place</w:t>
      </w:r>
    </w:p>
    <w:p>
      <w:pPr>
        <w:pStyle w:val="ListBullet"/>
      </w:pPr>
      <w:r>
        <w:t>Each request shows the related control, test objective, and acceptance criteria</w:t>
      </w:r>
    </w:p>
    <w:p>
      <w:pPr>
        <w:pStyle w:val="ListBullet"/>
      </w:pPr>
      <w:r>
        <w:t>Reusable evidence library — submit once, link to multiple engagements</w:t>
      </w:r>
    </w:p>
    <w:p>
      <w:pPr>
        <w:pStyle w:val="ListBullet"/>
      </w:pPr>
      <w:r>
        <w:t>CAPA progress tracker with attachment uploads and AI-review for closure quality</w:t>
      </w:r>
    </w:p>
    <w:p>
      <w:pPr>
        <w:pStyle w:val="Heading1"/>
      </w:pPr>
      <w:r>
        <w:t>3. Secondary Audiences</w:t>
      </w:r>
    </w:p>
    <w:p>
      <w:pPr>
        <w:pStyle w:val="Heading2"/>
      </w:pPr>
      <w:r>
        <w:t>3.1 Audit Committee / Board</w:t>
      </w:r>
    </w:p>
    <w:p>
      <w:r>
        <w:rPr>
          <w:b w:val="0"/>
          <w:i w:val="0"/>
        </w:rPr>
        <w:t>Consumes audit outcomes; does not operate the platform daily but relies on its outputs to discharge governance responsibilities.</w:t>
      </w:r>
    </w:p>
    <w:p>
      <w:pPr>
        <w:pStyle w:val="ListBullet"/>
      </w:pPr>
      <w:r>
        <w:t>Board-ready reports generated directly from platform data</w:t>
      </w:r>
    </w:p>
    <w:p>
      <w:pPr>
        <w:pStyle w:val="ListBullet"/>
      </w:pPr>
      <w:r>
        <w:t>Heat-maps of risk coverage and CAPA closure trends</w:t>
      </w:r>
    </w:p>
    <w:p>
      <w:pPr>
        <w:pStyle w:val="ListBullet"/>
      </w:pPr>
      <w:r>
        <w:t>Independent visibility into findings without going through management</w:t>
      </w:r>
    </w:p>
    <w:p>
      <w:pPr>
        <w:pStyle w:val="Heading2"/>
      </w:pPr>
      <w:r>
        <w:t>3.2 External Auditors / Regulators</w:t>
      </w:r>
    </w:p>
    <w:p>
      <w:r>
        <w:rPr>
          <w:b w:val="0"/>
          <w:i w:val="0"/>
        </w:rPr>
        <w:t>Periodically request access to workpapers, evidence, and CAPA records during statutory audits or regulatory inspections.</w:t>
      </w:r>
    </w:p>
    <w:p>
      <w:pPr>
        <w:pStyle w:val="ListBullet"/>
      </w:pPr>
      <w:r>
        <w:t>Read-only roles can be granted with time-boxed access</w:t>
      </w:r>
    </w:p>
    <w:p>
      <w:pPr>
        <w:pStyle w:val="ListBullet"/>
      </w:pPr>
      <w:r>
        <w:t>Full audit trail of who viewed, edited, or approved each artefact</w:t>
      </w:r>
    </w:p>
    <w:p>
      <w:pPr>
        <w:pStyle w:val="ListBullet"/>
      </w:pPr>
      <w:r>
        <w:t>Export packs (PDF/DOCX) for offline review</w:t>
      </w:r>
    </w:p>
    <w:p>
      <w:pPr>
        <w:pStyle w:val="Heading2"/>
      </w:pPr>
      <w:r>
        <w:t>3.3 IT / Information Security Team</w:t>
      </w:r>
    </w:p>
    <w:p>
      <w:r>
        <w:rPr>
          <w:b w:val="0"/>
          <w:i w:val="0"/>
        </w:rPr>
        <w:t>Responsible for the secure operation of the platform and integration with enterprise identity and storage systems.</w:t>
      </w:r>
    </w:p>
    <w:p>
      <w:pPr>
        <w:pStyle w:val="ListBullet"/>
      </w:pPr>
      <w:r>
        <w:t>AES-256-GCM encryption at rest, TLS 1.2+ in transit</w:t>
      </w:r>
    </w:p>
    <w:p>
      <w:pPr>
        <w:pStyle w:val="ListBullet"/>
      </w:pPr>
      <w:r>
        <w:t>Role-based access control with department-scoped roles</w:t>
      </w:r>
    </w:p>
    <w:p>
      <w:pPr>
        <w:pStyle w:val="ListBullet"/>
      </w:pPr>
      <w:r>
        <w:t>Detailed activity logs feeding into the SIEM</w:t>
      </w:r>
    </w:p>
    <w:p>
      <w:pPr>
        <w:pStyle w:val="Heading1"/>
      </w:pPr>
      <w:r>
        <w:t>4. Target Industries</w:t>
      </w:r>
    </w:p>
    <w:tbl>
      <w:tblPr>
        <w:tblStyle w:val="LightGrid-Accent1"/>
        <w:tblW w:type="auto" w:w="0"/>
        <w:tblLook w:firstColumn="1" w:firstRow="1" w:lastColumn="0" w:lastRow="0" w:noHBand="0" w:noVBand="1" w:val="04A0"/>
      </w:tblPr>
      <w:tblGrid>
        <w:gridCol w:w="3216"/>
        <w:gridCol w:w="3216"/>
        <w:gridCol w:w="3216"/>
      </w:tblGrid>
      <w:tr>
        <w:tc>
          <w:tcPr>
            <w:tcW w:type="dxa" w:w="2551"/>
            <w:shd w:val="clear" w:color="auto" w:fill="0B3D91"/>
            <w:vAlign w:val="center"/>
          </w:tcPr>
          <w:p>
            <w:r/>
            <w:r>
              <w:rPr>
                <w:b/>
                <w:color w:val="FFFFFF"/>
                <w:sz w:val="22"/>
              </w:rPr>
              <w:t>Industry</w:t>
            </w:r>
          </w:p>
        </w:tc>
        <w:tc>
          <w:tcPr>
            <w:tcW w:type="dxa" w:w="3118"/>
            <w:shd w:val="clear" w:color="auto" w:fill="0B3D91"/>
            <w:vAlign w:val="center"/>
          </w:tcPr>
          <w:p>
            <w:r/>
            <w:r>
              <w:rPr>
                <w:b/>
                <w:color w:val="FFFFFF"/>
                <w:sz w:val="22"/>
              </w:rPr>
              <w:t>Why Internal Audit Matters</w:t>
            </w:r>
          </w:p>
        </w:tc>
        <w:tc>
          <w:tcPr>
            <w:tcW w:type="dxa" w:w="3402"/>
            <w:shd w:val="clear" w:color="auto" w:fill="0B3D91"/>
            <w:vAlign w:val="center"/>
          </w:tcPr>
          <w:p>
            <w:r/>
            <w:r>
              <w:rPr>
                <w:b/>
                <w:color w:val="FFFFFF"/>
                <w:sz w:val="22"/>
              </w:rPr>
              <w:t>Specific Drivers</w:t>
            </w:r>
          </w:p>
        </w:tc>
      </w:tr>
      <w:tr>
        <w:tc>
          <w:tcPr>
            <w:tcW w:type="dxa" w:w="2551"/>
          </w:tcPr>
          <w:p>
            <w:r/>
            <w:r>
              <w:rPr>
                <w:sz w:val="21"/>
              </w:rPr>
              <w:t>Banking &amp; Financial Services</w:t>
            </w:r>
          </w:p>
        </w:tc>
        <w:tc>
          <w:tcPr>
            <w:tcW w:type="dxa" w:w="3118"/>
          </w:tcPr>
          <w:p>
            <w:r/>
            <w:r>
              <w:rPr>
                <w:sz w:val="21"/>
              </w:rPr>
              <w:t>Highly regulated; mandatory internal audit function</w:t>
            </w:r>
          </w:p>
        </w:tc>
        <w:tc>
          <w:tcPr>
            <w:tcW w:type="dxa" w:w="3402"/>
          </w:tcPr>
          <w:p>
            <w:r/>
            <w:r>
              <w:rPr>
                <w:sz w:val="21"/>
              </w:rPr>
              <w:t>RBI guidelines, SOX-equivalent, IFC compliance</w:t>
            </w:r>
          </w:p>
        </w:tc>
      </w:tr>
      <w:tr>
        <w:tc>
          <w:tcPr>
            <w:tcW w:type="dxa" w:w="2551"/>
            <w:shd w:val="clear" w:color="auto" w:fill="F2F5FB"/>
          </w:tcPr>
          <w:p>
            <w:r/>
            <w:r>
              <w:rPr>
                <w:sz w:val="21"/>
              </w:rPr>
              <w:t>Insurance</w:t>
            </w:r>
          </w:p>
        </w:tc>
        <w:tc>
          <w:tcPr>
            <w:tcW w:type="dxa" w:w="3118"/>
            <w:shd w:val="clear" w:color="auto" w:fill="F2F5FB"/>
          </w:tcPr>
          <w:p>
            <w:r/>
            <w:r>
              <w:rPr>
                <w:sz w:val="21"/>
              </w:rPr>
              <w:t>Solvency, claims integrity, IRDAI oversight</w:t>
            </w:r>
          </w:p>
        </w:tc>
        <w:tc>
          <w:tcPr>
            <w:tcW w:type="dxa" w:w="3402"/>
            <w:shd w:val="clear" w:color="auto" w:fill="F2F5FB"/>
          </w:tcPr>
          <w:p>
            <w:r/>
            <w:r>
              <w:rPr>
                <w:sz w:val="21"/>
              </w:rPr>
              <w:t>Risk-based capital, ORSA</w:t>
            </w:r>
          </w:p>
        </w:tc>
      </w:tr>
      <w:tr>
        <w:tc>
          <w:tcPr>
            <w:tcW w:type="dxa" w:w="2551"/>
          </w:tcPr>
          <w:p>
            <w:r/>
            <w:r>
              <w:rPr>
                <w:sz w:val="21"/>
              </w:rPr>
              <w:t>Healthcare</w:t>
            </w:r>
          </w:p>
        </w:tc>
        <w:tc>
          <w:tcPr>
            <w:tcW w:type="dxa" w:w="3118"/>
          </w:tcPr>
          <w:p>
            <w:r/>
            <w:r>
              <w:rPr>
                <w:sz w:val="21"/>
              </w:rPr>
              <w:t>Patient safety, billing integrity, NABH/JCI accreditation</w:t>
            </w:r>
          </w:p>
        </w:tc>
        <w:tc>
          <w:tcPr>
            <w:tcW w:type="dxa" w:w="3402"/>
          </w:tcPr>
          <w:p>
            <w:r/>
            <w:r>
              <w:rPr>
                <w:sz w:val="21"/>
              </w:rPr>
              <w:t>HIPAA-like local laws, accreditation cycles</w:t>
            </w:r>
          </w:p>
        </w:tc>
      </w:tr>
      <w:tr>
        <w:tc>
          <w:tcPr>
            <w:tcW w:type="dxa" w:w="2551"/>
            <w:shd w:val="clear" w:color="auto" w:fill="F2F5FB"/>
          </w:tcPr>
          <w:p>
            <w:r/>
            <w:r>
              <w:rPr>
                <w:sz w:val="21"/>
              </w:rPr>
              <w:t>Manufacturing</w:t>
            </w:r>
          </w:p>
        </w:tc>
        <w:tc>
          <w:tcPr>
            <w:tcW w:type="dxa" w:w="3118"/>
            <w:shd w:val="clear" w:color="auto" w:fill="F2F5FB"/>
          </w:tcPr>
          <w:p>
            <w:r/>
            <w:r>
              <w:rPr>
                <w:sz w:val="21"/>
              </w:rPr>
              <w:t>Process safety, inventory accuracy, supplier audits</w:t>
            </w:r>
          </w:p>
        </w:tc>
        <w:tc>
          <w:tcPr>
            <w:tcW w:type="dxa" w:w="3402"/>
            <w:shd w:val="clear" w:color="auto" w:fill="F2F5FB"/>
          </w:tcPr>
          <w:p>
            <w:r/>
            <w:r>
              <w:rPr>
                <w:sz w:val="21"/>
              </w:rPr>
              <w:t>ISO 9001, supplier code of conduct</w:t>
            </w:r>
          </w:p>
        </w:tc>
      </w:tr>
      <w:tr>
        <w:tc>
          <w:tcPr>
            <w:tcW w:type="dxa" w:w="2551"/>
          </w:tcPr>
          <w:p>
            <w:r/>
            <w:r>
              <w:rPr>
                <w:sz w:val="21"/>
              </w:rPr>
              <w:t>IT / ITeS</w:t>
            </w:r>
          </w:p>
        </w:tc>
        <w:tc>
          <w:tcPr>
            <w:tcW w:type="dxa" w:w="3118"/>
          </w:tcPr>
          <w:p>
            <w:r/>
            <w:r>
              <w:rPr>
                <w:sz w:val="21"/>
              </w:rPr>
              <w:t>Information security, data privacy, client SLAs</w:t>
            </w:r>
          </w:p>
        </w:tc>
        <w:tc>
          <w:tcPr>
            <w:tcW w:type="dxa" w:w="3402"/>
          </w:tcPr>
          <w:p>
            <w:r/>
            <w:r>
              <w:rPr>
                <w:sz w:val="21"/>
              </w:rPr>
              <w:t>ISO 27001, SOC 2, client audit clauses</w:t>
            </w:r>
          </w:p>
        </w:tc>
      </w:tr>
      <w:tr>
        <w:tc>
          <w:tcPr>
            <w:tcW w:type="dxa" w:w="2551"/>
            <w:shd w:val="clear" w:color="auto" w:fill="F2F5FB"/>
          </w:tcPr>
          <w:p>
            <w:r/>
            <w:r>
              <w:rPr>
                <w:sz w:val="21"/>
              </w:rPr>
              <w:t>Public Sector / PSUs</w:t>
            </w:r>
          </w:p>
        </w:tc>
        <w:tc>
          <w:tcPr>
            <w:tcW w:type="dxa" w:w="3118"/>
            <w:shd w:val="clear" w:color="auto" w:fill="F2F5FB"/>
          </w:tcPr>
          <w:p>
            <w:r/>
            <w:r>
              <w:rPr>
                <w:sz w:val="21"/>
              </w:rPr>
              <w:t>Compliance with CAG, internal vigilance</w:t>
            </w:r>
          </w:p>
        </w:tc>
        <w:tc>
          <w:tcPr>
            <w:tcW w:type="dxa" w:w="3402"/>
            <w:shd w:val="clear" w:color="auto" w:fill="F2F5FB"/>
          </w:tcPr>
          <w:p>
            <w:r/>
            <w:r>
              <w:rPr>
                <w:sz w:val="21"/>
              </w:rPr>
              <w:t>Mandatory IA charter, CVC guidelines</w:t>
            </w:r>
          </w:p>
        </w:tc>
      </w:tr>
      <w:tr>
        <w:tc>
          <w:tcPr>
            <w:tcW w:type="dxa" w:w="2551"/>
          </w:tcPr>
          <w:p>
            <w:r/>
            <w:r>
              <w:rPr>
                <w:sz w:val="21"/>
              </w:rPr>
              <w:t>Retail &amp; E-commerce</w:t>
            </w:r>
          </w:p>
        </w:tc>
        <w:tc>
          <w:tcPr>
            <w:tcW w:type="dxa" w:w="3118"/>
          </w:tcPr>
          <w:p>
            <w:r/>
            <w:r>
              <w:rPr>
                <w:sz w:val="21"/>
              </w:rPr>
              <w:t>Cash management, shrinkage, vendor compliance</w:t>
            </w:r>
          </w:p>
        </w:tc>
        <w:tc>
          <w:tcPr>
            <w:tcW w:type="dxa" w:w="3402"/>
          </w:tcPr>
          <w:p>
            <w:r/>
            <w:r>
              <w:rPr>
                <w:sz w:val="21"/>
              </w:rPr>
              <w:t>Loss prevention, vendor due-diligence</w:t>
            </w:r>
          </w:p>
        </w:tc>
      </w:tr>
    </w:tbl>
    <w:p>
      <w:pPr>
        <w:pStyle w:val="Heading1"/>
      </w:pPr>
      <w:r>
        <w:t>5. Buying Personas</w:t>
      </w:r>
    </w:p>
    <w:tbl>
      <w:tblPr>
        <w:tblStyle w:val="LightGrid-Accent1"/>
        <w:tblW w:type="auto" w:w="0"/>
        <w:tblLook w:firstColumn="1" w:firstRow="1" w:lastColumn="0" w:lastRow="0" w:noHBand="0" w:noVBand="1" w:val="04A0"/>
      </w:tblPr>
      <w:tblGrid>
        <w:gridCol w:w="3216"/>
        <w:gridCol w:w="3216"/>
        <w:gridCol w:w="3216"/>
      </w:tblGrid>
      <w:tr>
        <w:tc>
          <w:tcPr>
            <w:tcW w:type="dxa" w:w="2551"/>
            <w:shd w:val="clear" w:color="auto" w:fill="0B3D91"/>
            <w:vAlign w:val="center"/>
          </w:tcPr>
          <w:p>
            <w:r/>
            <w:r>
              <w:rPr>
                <w:b/>
                <w:color w:val="FFFFFF"/>
                <w:sz w:val="22"/>
              </w:rPr>
              <w:t>Persona</w:t>
            </w:r>
          </w:p>
        </w:tc>
        <w:tc>
          <w:tcPr>
            <w:tcW w:type="dxa" w:w="2551"/>
            <w:shd w:val="clear" w:color="auto" w:fill="0B3D91"/>
            <w:vAlign w:val="center"/>
          </w:tcPr>
          <w:p>
            <w:r/>
            <w:r>
              <w:rPr>
                <w:b/>
                <w:color w:val="FFFFFF"/>
                <w:sz w:val="22"/>
              </w:rPr>
              <w:t>Role in Decision</w:t>
            </w:r>
          </w:p>
        </w:tc>
        <w:tc>
          <w:tcPr>
            <w:tcW w:type="dxa" w:w="3969"/>
            <w:shd w:val="clear" w:color="auto" w:fill="0B3D91"/>
            <w:vAlign w:val="center"/>
          </w:tcPr>
          <w:p>
            <w:r/>
            <w:r>
              <w:rPr>
                <w:b/>
                <w:color w:val="FFFFFF"/>
                <w:sz w:val="22"/>
              </w:rPr>
              <w:t>What They Want to Hear</w:t>
            </w:r>
          </w:p>
        </w:tc>
      </w:tr>
      <w:tr>
        <w:tc>
          <w:tcPr>
            <w:tcW w:type="dxa" w:w="2551"/>
          </w:tcPr>
          <w:p>
            <w:r/>
            <w:r>
              <w:rPr>
                <w:sz w:val="21"/>
              </w:rPr>
              <w:t>Chief Audit Executive</w:t>
            </w:r>
          </w:p>
        </w:tc>
        <w:tc>
          <w:tcPr>
            <w:tcW w:type="dxa" w:w="2551"/>
          </w:tcPr>
          <w:p>
            <w:r/>
            <w:r>
              <w:rPr>
                <w:sz w:val="21"/>
              </w:rPr>
              <w:t>Economic buyer</w:t>
            </w:r>
          </w:p>
        </w:tc>
        <w:tc>
          <w:tcPr>
            <w:tcW w:type="dxa" w:w="3969"/>
          </w:tcPr>
          <w:p>
            <w:r/>
            <w:r>
              <w:rPr>
                <w:sz w:val="21"/>
              </w:rPr>
              <w:t>Reduced audit cycle time, better Board reporting, defensible methodology</w:t>
            </w:r>
          </w:p>
        </w:tc>
      </w:tr>
      <w:tr>
        <w:tc>
          <w:tcPr>
            <w:tcW w:type="dxa" w:w="2551"/>
            <w:shd w:val="clear" w:color="auto" w:fill="F2F5FB"/>
          </w:tcPr>
          <w:p>
            <w:r/>
            <w:r>
              <w:rPr>
                <w:sz w:val="21"/>
              </w:rPr>
              <w:t>CFO / Finance Director</w:t>
            </w:r>
          </w:p>
        </w:tc>
        <w:tc>
          <w:tcPr>
            <w:tcW w:type="dxa" w:w="2551"/>
            <w:shd w:val="clear" w:color="auto" w:fill="F2F5FB"/>
          </w:tcPr>
          <w:p>
            <w:r/>
            <w:r>
              <w:rPr>
                <w:sz w:val="21"/>
              </w:rPr>
              <w:t>Budget approver</w:t>
            </w:r>
          </w:p>
        </w:tc>
        <w:tc>
          <w:tcPr>
            <w:tcW w:type="dxa" w:w="3969"/>
            <w:shd w:val="clear" w:color="auto" w:fill="F2F5FB"/>
          </w:tcPr>
          <w:p>
            <w:r/>
            <w:r>
              <w:rPr>
                <w:sz w:val="21"/>
              </w:rPr>
              <w:t>TCO, ROI, reduction in external audit fees</w:t>
            </w:r>
          </w:p>
        </w:tc>
      </w:tr>
      <w:tr>
        <w:tc>
          <w:tcPr>
            <w:tcW w:type="dxa" w:w="2551"/>
          </w:tcPr>
          <w:p>
            <w:r/>
            <w:r>
              <w:rPr>
                <w:sz w:val="21"/>
              </w:rPr>
              <w:t>Chief Risk Officer</w:t>
            </w:r>
          </w:p>
        </w:tc>
        <w:tc>
          <w:tcPr>
            <w:tcW w:type="dxa" w:w="2551"/>
          </w:tcPr>
          <w:p>
            <w:r/>
            <w:r>
              <w:rPr>
                <w:sz w:val="21"/>
              </w:rPr>
              <w:t>Influencer</w:t>
            </w:r>
          </w:p>
        </w:tc>
        <w:tc>
          <w:tcPr>
            <w:tcW w:type="dxa" w:w="3969"/>
          </w:tcPr>
          <w:p>
            <w:r/>
            <w:r>
              <w:rPr>
                <w:sz w:val="21"/>
              </w:rPr>
              <w:t>Integration with risk register, shared taxonomy</w:t>
            </w:r>
          </w:p>
        </w:tc>
      </w:tr>
      <w:tr>
        <w:tc>
          <w:tcPr>
            <w:tcW w:type="dxa" w:w="2551"/>
            <w:shd w:val="clear" w:color="auto" w:fill="F2F5FB"/>
          </w:tcPr>
          <w:p>
            <w:r/>
            <w:r>
              <w:rPr>
                <w:sz w:val="21"/>
              </w:rPr>
              <w:t>Head of IT / CISO</w:t>
            </w:r>
          </w:p>
        </w:tc>
        <w:tc>
          <w:tcPr>
            <w:tcW w:type="dxa" w:w="2551"/>
            <w:shd w:val="clear" w:color="auto" w:fill="F2F5FB"/>
          </w:tcPr>
          <w:p>
            <w:r/>
            <w:r>
              <w:rPr>
                <w:sz w:val="21"/>
              </w:rPr>
              <w:t>Technical gatekeeper</w:t>
            </w:r>
          </w:p>
        </w:tc>
        <w:tc>
          <w:tcPr>
            <w:tcW w:type="dxa" w:w="3969"/>
            <w:shd w:val="clear" w:color="auto" w:fill="F2F5FB"/>
          </w:tcPr>
          <w:p>
            <w:r/>
            <w:r>
              <w:rPr>
                <w:sz w:val="21"/>
              </w:rPr>
              <w:t>Security posture, deployment options, data residency</w:t>
            </w:r>
          </w:p>
        </w:tc>
      </w:tr>
      <w:tr>
        <w:tc>
          <w:tcPr>
            <w:tcW w:type="dxa" w:w="2551"/>
          </w:tcPr>
          <w:p>
            <w:r/>
            <w:r>
              <w:rPr>
                <w:sz w:val="21"/>
              </w:rPr>
              <w:t>Audit Manager</w:t>
            </w:r>
          </w:p>
        </w:tc>
        <w:tc>
          <w:tcPr>
            <w:tcW w:type="dxa" w:w="2551"/>
          </w:tcPr>
          <w:p>
            <w:r/>
            <w:r>
              <w:rPr>
                <w:sz w:val="21"/>
              </w:rPr>
              <w:t>Day-to-day champion</w:t>
            </w:r>
          </w:p>
        </w:tc>
        <w:tc>
          <w:tcPr>
            <w:tcW w:type="dxa" w:w="3969"/>
          </w:tcPr>
          <w:p>
            <w:r/>
            <w:r>
              <w:rPr>
                <w:sz w:val="21"/>
              </w:rPr>
              <w:t>Productivity gains, less manual rework</w:t>
            </w:r>
          </w:p>
        </w:tc>
      </w:tr>
    </w:tbl>
    <w:p>
      <w:pPr>
        <w:pStyle w:val="Heading1"/>
      </w:pPr>
      <w:r>
        <w:t>6. Out of Scope (Not Our Audience)</w:t>
      </w:r>
    </w:p>
    <w:p>
      <w:r>
        <w:rPr>
          <w:b w:val="0"/>
          <w:i w:val="0"/>
        </w:rPr>
        <w:t>The Internal Audit Platform is purpose-built for second- and third-line assurance teams. The following audiences are explicitly not the focus:</w:t>
      </w:r>
    </w:p>
    <w:p>
      <w:pPr>
        <w:pStyle w:val="ListBullet"/>
      </w:pPr>
      <w:r>
        <w:t>External / statutory auditors performing financial-statement audits as a primary workflow (we serve them as consumers of internal audit output)</w:t>
      </w:r>
    </w:p>
    <w:p>
      <w:pPr>
        <w:pStyle w:val="ListBullet"/>
      </w:pPr>
      <w:r>
        <w:t>Single-user freelance auditors looking for a personal productivity tool</w:t>
      </w:r>
    </w:p>
    <w:p>
      <w:pPr>
        <w:pStyle w:val="ListBullet"/>
      </w:pPr>
      <w:r>
        <w:t>Organisations without a formal internal audit function or charter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A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9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9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88E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