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E88E5"/>
          <w:sz w:val="28"/>
        </w:rPr>
        <w:t>INTERNAL AUDIT PLATFORM</w:t>
      </w:r>
    </w:p>
    <w:p>
      <w:pPr>
        <w:jc w:val="center"/>
      </w:pPr>
      <w:r>
        <w:rPr>
          <w:b/>
          <w:color w:val="0B3D91"/>
          <w:sz w:val="72"/>
        </w:rPr>
        <w:t>Technical Documentation</w:t>
      </w:r>
    </w:p>
    <w:p>
      <w:pPr>
        <w:jc w:val="center"/>
        <w:pBdr>
          <w:bottom w:val="single" w:sz="8" w:space="1" w:color="1E88E5"/>
        </w:pBdr>
      </w:pPr>
    </w:p>
    <w:p>
      <w:pPr>
        <w:jc w:val="center"/>
      </w:pPr>
      <w:r>
        <w:rPr>
          <w:i/>
          <w:color w:val="555F77"/>
          <w:sz w:val="28"/>
        </w:rPr>
        <w:t>Architecture, technology stack, security model, and integration points</w:t>
      </w:r>
    </w:p>
    <w:p>
      <w:pPr>
        <w:jc w:val="center"/>
      </w:pPr>
      <w:r>
        <w:rPr>
          <w:color w:val="555F77"/>
          <w:sz w:val="22"/>
        </w:rPr>
        <w:br/>
        <w:br/>
        <w:t>Glimmora International</w:t>
        <w:br/>
        <w:t>info@glimmora.ai</w:t>
      </w:r>
    </w:p>
    <w:p>
      <w:r>
        <w:br w:type="page"/>
      </w:r>
    </w:p>
    <w:p>
      <w:pPr>
        <w:pStyle w:val="Heading1"/>
      </w:pPr>
      <w:r>
        <w:t>1. Solution Overview</w:t>
      </w:r>
    </w:p>
    <w:p>
      <w:r>
        <w:rPr>
          <w:b w:val="0"/>
          <w:i w:val="0"/>
        </w:rPr>
        <w:t>The Internal Audit Platform is a web-based, multi-tenant SaaS application built on the modern Next.js 16 App Router stack. It provides end-to-end internal audit lifecycle management — from risk-based annual planning through engagement execution, finding management, and CAPA closure — and is augmented by a dedicated Python AI backend for document understanding, workpaper generation, and natural-language query.</w:t>
      </w:r>
    </w:p>
    <w:p>
      <w:pPr>
        <w:pStyle w:val="Heading1"/>
      </w:pPr>
      <w:r>
        <w:t>2. Architecture</w:t>
      </w:r>
    </w:p>
    <w:p>
      <w:pPr>
        <w:pStyle w:val="Heading2"/>
      </w:pPr>
      <w:r>
        <w:t>2.1 High-Level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425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Responsibility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Presentation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Next.js 16 (App Router), React 19, Tailwind CSS, shadcn/ui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Server components, route groups, RBAC-filtered navigation</w:t>
            </w:r>
          </w:p>
        </w:tc>
      </w:tr>
      <w:tr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API</w:t>
            </w:r>
          </w:p>
        </w:tc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Next.js Route Handlers + NextAuth v5 (JWT)</w:t>
            </w:r>
          </w:p>
        </w:tc>
        <w:tc>
          <w:tcPr>
            <w:tcW w:type="dxa" w:w="4252"/>
            <w:shd w:val="clear" w:color="auto" w:fill="F2F5FB"/>
          </w:tcPr>
          <w:p>
            <w:r/>
            <w:r>
              <w:rPr>
                <w:sz w:val="21"/>
              </w:rPr>
              <w:t>REST endpoints, session validation, permission enforcement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Business Logic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TypeScript service modules under src/lib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Audit workflows, scoring, escalation, notifications</w:t>
            </w:r>
          </w:p>
        </w:tc>
      </w:tr>
      <w:tr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Persistence</w:t>
            </w:r>
          </w:p>
        </w:tc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Prisma 6 ORM + PostgreSQL (Neon / DO Managed)</w:t>
            </w:r>
          </w:p>
        </w:tc>
        <w:tc>
          <w:tcPr>
            <w:tcW w:type="dxa" w:w="4252"/>
            <w:shd w:val="clear" w:color="auto" w:fill="F2F5FB"/>
          </w:tcPr>
          <w:p>
            <w:r/>
            <w:r>
              <w:rPr>
                <w:sz w:val="21"/>
              </w:rPr>
              <w:t>Schema-first models, migrations, encrypted fields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AI Services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Python FastAPI backend + MongoDB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Document ingestion, embeddings, AI workpapers, audit Q&amp;A</w:t>
            </w:r>
          </w:p>
        </w:tc>
      </w:tr>
      <w:tr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File Storage</w:t>
            </w:r>
          </w:p>
        </w:tc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Object storage (DO Spaces / S3-compatible)</w:t>
            </w:r>
          </w:p>
        </w:tc>
        <w:tc>
          <w:tcPr>
            <w:tcW w:type="dxa" w:w="4252"/>
            <w:shd w:val="clear" w:color="auto" w:fill="F2F5FB"/>
          </w:tcPr>
          <w:p>
            <w:r/>
            <w:r>
              <w:rPr>
                <w:sz w:val="21"/>
              </w:rPr>
              <w:t>Workpapers, evidence, attachments — encrypted at rest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Email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SMTP relay (configurable)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Notifications, evidence requests, escalations</w:t>
            </w:r>
          </w:p>
        </w:tc>
      </w:tr>
    </w:tbl>
    <w:p>
      <w:pPr>
        <w:pStyle w:val="Heading2"/>
      </w:pPr>
      <w:r>
        <w:t>2.2 Deployment Topology</w:t>
      </w:r>
    </w:p>
    <w:p>
      <w:r>
        <w:rPr>
          <w:b w:val="0"/>
          <w:i w:val="0"/>
        </w:rPr>
        <w:t>The reference deployment runs on DigitalOcean App Platform. A single git branch (GRC-MultiTenant) is wired to two App Platform apps — UAT and Production — each with its own database and environment variables. Risky changes are gated by per-app feature flags so they can be validated in UAT for 24–48 hours before being enabled in Production.</w:t>
      </w:r>
    </w:p>
    <w:p>
      <w:pPr>
        <w:pStyle w:val="Heading1"/>
      </w:pPr>
      <w:r>
        <w:t>3. Module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5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6236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Capabilities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Dashboard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Audit-plan progress, CAPA aging, risk-by-rating, auditor schedule, drill-downs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Audit Universe</w:t>
            </w:r>
          </w:p>
        </w:tc>
        <w:tc>
          <w:tcPr>
            <w:tcW w:type="dxa" w:w="6236"/>
            <w:shd w:val="clear" w:color="auto" w:fill="F2F5FB"/>
          </w:tcPr>
          <w:p>
            <w:r/>
            <w:r>
              <w:rPr>
                <w:sz w:val="21"/>
              </w:rPr>
              <w:t>Auditable entities, process/department mapping, last-audited tracking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Risk Universe &amp; Register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Risk taxonomy, residual scoring, AI-recommended audits, import/export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Audit Planning</w:t>
            </w:r>
          </w:p>
        </w:tc>
        <w:tc>
          <w:tcPr>
            <w:tcW w:type="dxa" w:w="6236"/>
            <w:shd w:val="clear" w:color="auto" w:fill="F2F5FB"/>
          </w:tcPr>
          <w:p>
            <w:r/>
            <w:r>
              <w:rPr>
                <w:sz w:val="21"/>
              </w:rPr>
              <w:t>Annual plan, engagement creation, resource allocation, AI plan generation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Fieldwork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Engagement workspace, workpapers (AI + manual), evidence requests, findings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Findings &amp; CAPA</w:t>
            </w:r>
          </w:p>
        </w:tc>
        <w:tc>
          <w:tcPr>
            <w:tcW w:type="dxa" w:w="6236"/>
            <w:shd w:val="clear" w:color="auto" w:fill="F2F5FB"/>
          </w:tcPr>
          <w:p>
            <w:r/>
            <w:r>
              <w:rPr>
                <w:sz w:val="21"/>
              </w:rPr>
              <w:t>Finding lifecycle, severity, root cause, CAPA assignment, AI closure review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Reports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Engagement reports, board reports, document downloads (PDF/DOCX)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Document Library</w:t>
            </w:r>
          </w:p>
        </w:tc>
        <w:tc>
          <w:tcPr>
            <w:tcW w:type="dxa" w:w="6236"/>
            <w:shd w:val="clear" w:color="auto" w:fill="F2F5FB"/>
          </w:tcPr>
          <w:p>
            <w:r/>
            <w:r>
              <w:rPr>
                <w:sz w:val="21"/>
              </w:rPr>
              <w:t>Full-text search across past artefacts, AI ingestion, recent searches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Settings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Audit types, categories, processes, scoring config, escalation, user management</w:t>
            </w:r>
          </w:p>
        </w:tc>
      </w:tr>
    </w:tbl>
    <w:p>
      <w:pPr>
        <w:pStyle w:val="Heading1"/>
      </w:pPr>
      <w:r>
        <w:t>4. Authentication &amp; Authorization</w:t>
      </w:r>
    </w:p>
    <w:p>
      <w:r>
        <w:rPr>
          <w:b w:val="0"/>
          <w:i w:val="0"/>
        </w:rPr>
        <w:t>NextAuth v5 with JWT sessions. Role-Based Access Control is enforced at three layers:</w:t>
      </w:r>
    </w:p>
    <w:p>
      <w:pPr>
        <w:pStyle w:val="ListBullet"/>
      </w:pPr>
      <w:r>
        <w:t>Navigation: src/lib/navigation.ts filters menu items by resource:action permission</w:t>
      </w:r>
    </w:p>
    <w:p>
      <w:pPr>
        <w:pStyle w:val="ListBullet"/>
      </w:pPr>
      <w:r>
        <w:t>API: withAuth wrapper in src/lib/api-auth.ts validates session + permission per route</w:t>
      </w:r>
    </w:p>
    <w:p>
      <w:pPr>
        <w:pStyle w:val="ListBullet"/>
      </w:pPr>
      <w:r>
        <w:t>UI: usePermissions / useHasRole hooks gate buttons, fields, and entire pages</w:t>
      </w:r>
    </w:p>
    <w:p>
      <w:r>
        <w:rPr>
          <w:b/>
          <w:i w:val="0"/>
        </w:rPr>
        <w:t>Audit-relevant roles: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5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Role</w:t>
            </w:r>
          </w:p>
        </w:tc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Scope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Typical Use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AuditHead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Full Internal Audit access across organisation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Owns the plan, signs off engagements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AuditManager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Create/edit engagements, review workpapers</w:t>
            </w:r>
          </w:p>
        </w:tc>
        <w:tc>
          <w:tcPr>
            <w:tcW w:type="dxa" w:w="3402"/>
            <w:shd w:val="clear" w:color="auto" w:fill="F2F5FB"/>
          </w:tcPr>
          <w:p>
            <w:r/>
            <w:r>
              <w:rPr>
                <w:sz w:val="21"/>
              </w:rPr>
              <w:t>Day-to-day execution oversight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Auditor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Execute assigned engagements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Fieldwork, evidence collection, draft findings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Auditee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Respond to requests assigned to them</w:t>
            </w:r>
          </w:p>
        </w:tc>
        <w:tc>
          <w:tcPr>
            <w:tcW w:type="dxa" w:w="3402"/>
            <w:shd w:val="clear" w:color="auto" w:fill="F2F5FB"/>
          </w:tcPr>
          <w:p>
            <w:r/>
            <w:r>
              <w:rPr>
                <w:sz w:val="21"/>
              </w:rPr>
              <w:t>Process / control owners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Reviewer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Cross-module read + comment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Stakeholder visibility without edit rights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DepartmentReviewer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Department-scoped read</w:t>
            </w:r>
          </w:p>
        </w:tc>
        <w:tc>
          <w:tcPr>
            <w:tcW w:type="dxa" w:w="3402"/>
            <w:shd w:val="clear" w:color="auto" w:fill="F2F5FB"/>
          </w:tcPr>
          <w:p>
            <w:r/>
            <w:r>
              <w:rPr>
                <w:sz w:val="21"/>
              </w:rPr>
              <w:t>Functional heads</w:t>
            </w:r>
          </w:p>
        </w:tc>
      </w:tr>
    </w:tbl>
    <w:p>
      <w:pPr>
        <w:pStyle w:val="Heading1"/>
      </w:pPr>
      <w:r>
        <w:t>5. Data Model (Selected Entities)</w:t>
      </w:r>
    </w:p>
    <w:p>
      <w:pPr>
        <w:pStyle w:val="ListBullet"/>
      </w:pPr>
      <w:r>
        <w:t>AuditUniverse — entities and processes eligible for audit</w:t>
      </w:r>
    </w:p>
    <w:p>
      <w:pPr>
        <w:pStyle w:val="ListBullet"/>
      </w:pPr>
      <w:r>
        <w:t>Risk, RiskFactor, ImpactScale, ProbabilityScale, ScoringRange</w:t>
      </w:r>
    </w:p>
    <w:p>
      <w:pPr>
        <w:pStyle w:val="ListBullet"/>
      </w:pPr>
      <w:r>
        <w:t>Engagement — annual-plan instance with status, scope, team</w:t>
      </w:r>
    </w:p>
    <w:p>
      <w:pPr>
        <w:pStyle w:val="ListBullet"/>
      </w:pPr>
      <w:r>
        <w:t>Fieldwork — execution workspace child of Engagement</w:t>
      </w:r>
    </w:p>
    <w:p>
      <w:pPr>
        <w:pStyle w:val="ListBullet"/>
      </w:pPr>
      <w:r>
        <w:t>Workpaper, AiWorkpaper, EvidenceRequest, Attachment</w:t>
      </w:r>
    </w:p>
    <w:p>
      <w:pPr>
        <w:pStyle w:val="ListBullet"/>
      </w:pPr>
      <w:r>
        <w:t>Finding — outcome of testing, links to Control and Process</w:t>
      </w:r>
    </w:p>
    <w:p>
      <w:pPr>
        <w:pStyle w:val="ListBullet"/>
      </w:pPr>
      <w:r>
        <w:t>Capa — corrective/preventive actions tied to Findings</w:t>
      </w:r>
    </w:p>
    <w:p>
      <w:pPr>
        <w:pStyle w:val="ListBullet"/>
      </w:pPr>
      <w:r>
        <w:t>AuditReport — generated engagement and management reports</w:t>
      </w:r>
    </w:p>
    <w:p>
      <w:pPr>
        <w:pStyle w:val="Heading1"/>
      </w:pPr>
      <w:r>
        <w:t>6. AI Services</w:t>
      </w:r>
    </w:p>
    <w:p>
      <w:r>
        <w:rPr>
          <w:b w:val="0"/>
          <w:i w:val="0"/>
        </w:rPr>
        <w:t>The Python AI backend is deployed as an independent service with its own MongoDB datastore. The Next.js app communicates with it over HTTPS using a shared secret (PYTHON_API_SECRET).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26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Endpoint / Module</w:t>
            </w:r>
          </w:p>
        </w:tc>
        <w:tc>
          <w:tcPr>
            <w:tcW w:type="dxa" w:w="368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Document Ingestion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/documents/ingest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OCR, chunking, embeddings stored in MongoDB</w:t>
            </w:r>
          </w:p>
        </w:tc>
      </w:tr>
      <w:tr>
        <w:tc>
          <w:tcPr>
            <w:tcW w:type="dxa" w:w="2268"/>
            <w:shd w:val="clear" w:color="auto" w:fill="F2F5FB"/>
          </w:tcPr>
          <w:p>
            <w:r/>
            <w:r>
              <w:rPr>
                <w:sz w:val="21"/>
              </w:rPr>
              <w:t>Audit Q&amp;A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/fieldwork/audit-query</w:t>
            </w:r>
          </w:p>
        </w:tc>
        <w:tc>
          <w:tcPr>
            <w:tcW w:type="dxa" w:w="3685"/>
            <w:shd w:val="clear" w:color="auto" w:fill="F2F5FB"/>
          </w:tcPr>
          <w:p>
            <w:r/>
            <w:r>
              <w:rPr>
                <w:sz w:val="21"/>
              </w:rPr>
              <w:t>RAG over ingested documents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AI Workpapers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/fieldwork/ai-workpapers/generate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Generate workpaper drafts per process / risk</w:t>
            </w:r>
          </w:p>
        </w:tc>
      </w:tr>
      <w:tr>
        <w:tc>
          <w:tcPr>
            <w:tcW w:type="dxa" w:w="2268"/>
            <w:shd w:val="clear" w:color="auto" w:fill="F2F5FB"/>
          </w:tcPr>
          <w:p>
            <w:r/>
            <w:r>
              <w:rPr>
                <w:sz w:val="21"/>
              </w:rPr>
              <w:t>CAPA AI Review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/capa/ai-review</w:t>
            </w:r>
          </w:p>
        </w:tc>
        <w:tc>
          <w:tcPr>
            <w:tcW w:type="dxa" w:w="3685"/>
            <w:shd w:val="clear" w:color="auto" w:fill="F2F5FB"/>
          </w:tcPr>
          <w:p>
            <w:r/>
            <w:r>
              <w:rPr>
                <w:sz w:val="21"/>
              </w:rPr>
              <w:t>Assesses closure-evidence sufficiency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Risk Identification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/risks/suggest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Suggests risks from process descriptions</w:t>
            </w:r>
          </w:p>
        </w:tc>
      </w:tr>
      <w:tr>
        <w:tc>
          <w:tcPr>
            <w:tcW w:type="dxa" w:w="2268"/>
            <w:shd w:val="clear" w:color="auto" w:fill="F2F5FB"/>
          </w:tcPr>
          <w:p>
            <w:r/>
            <w:r>
              <w:rPr>
                <w:sz w:val="21"/>
              </w:rPr>
              <w:t>AI Audit Plan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/audit-planning/from-ai</w:t>
            </w:r>
          </w:p>
        </w:tc>
        <w:tc>
          <w:tcPr>
            <w:tcW w:type="dxa" w:w="3685"/>
            <w:shd w:val="clear" w:color="auto" w:fill="F2F5FB"/>
          </w:tcPr>
          <w:p>
            <w:r/>
            <w:r>
              <w:rPr>
                <w:sz w:val="21"/>
              </w:rPr>
              <w:t>Recommends engagements from risk register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Translations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/translate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Dynamic translation of user-entered data</w:t>
            </w:r>
          </w:p>
        </w:tc>
      </w:tr>
    </w:tbl>
    <w:p>
      <w:pPr>
        <w:pStyle w:val="Heading1"/>
      </w:pPr>
      <w:r>
        <w:t>7. Security</w:t>
      </w:r>
    </w:p>
    <w:p>
      <w:pPr>
        <w:pStyle w:val="ListBullet"/>
      </w:pPr>
      <w:r>
        <w:t>TLS 1.2+ enforced for all inbound and outbound traffic</w:t>
      </w:r>
    </w:p>
    <w:p>
      <w:pPr>
        <w:pStyle w:val="ListBullet"/>
      </w:pPr>
      <w:r>
        <w:t>AES-256-GCM field-level encryption for sensitive Bytes columns (see docs/SECURITY.md)</w:t>
      </w:r>
    </w:p>
    <w:p>
      <w:pPr>
        <w:pStyle w:val="ListBullet"/>
      </w:pPr>
      <w:r>
        <w:t>Encryption kill switch via ENCRYPTION_ENABLED env var per app</w:t>
      </w:r>
    </w:p>
    <w:p>
      <w:pPr>
        <w:pStyle w:val="ListBullet"/>
      </w:pPr>
      <w:r>
        <w:t>Secrets stored as encrypted env vars on DigitalOcean — never in git</w:t>
      </w:r>
    </w:p>
    <w:p>
      <w:pPr>
        <w:pStyle w:val="ListBullet"/>
      </w:pPr>
      <w:r>
        <w:t>Password hashing with bcrypt; configurable password policies</w:t>
      </w:r>
    </w:p>
    <w:p>
      <w:pPr>
        <w:pStyle w:val="ListBullet"/>
      </w:pPr>
      <w:r>
        <w:t>Activity log captures who/what/when for every state-changing API</w:t>
      </w:r>
    </w:p>
    <w:p>
      <w:pPr>
        <w:pStyle w:val="ListBullet"/>
      </w:pPr>
      <w:r>
        <w:t>Safe-log helper (src/lib/safe-log.ts) redacts known-sensitive keys before logging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Compliance Mapping</w:t>
              <w:br/>
            </w:r>
            <w:r>
              <w:rPr>
                <w:color w:val="1F2A44"/>
                <w:sz w:val="21"/>
              </w:rPr>
              <w:t>Controls map directly to ISO 27001 A.10 (Cryptography), A.9 (Access Control), A.12 (Operations Security); SOC 2 CC6 (Logical Access) and CC7 (System Operations); GDPR Art. 32 (Security of Processing); and PCI DSS Req. 3 &amp; 4.</w:t>
            </w:r>
          </w:p>
        </w:tc>
      </w:tr>
    </w:tbl>
    <w:p>
      <w:pPr>
        <w:pStyle w:val="Heading1"/>
      </w:pPr>
      <w:r>
        <w:t>8. Integration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5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Integration</w:t>
            </w:r>
          </w:p>
        </w:tc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Direction</w:t>
            </w:r>
          </w:p>
        </w:tc>
        <w:tc>
          <w:tcPr>
            <w:tcW w:type="dxa" w:w="45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SSO (SAML / OIDC)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Inbound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Optional; NextAuth supports custom providers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SMTP</w:t>
            </w:r>
          </w:p>
        </w:tc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Outbound</w:t>
            </w:r>
          </w:p>
        </w:tc>
        <w:tc>
          <w:tcPr>
            <w:tcW w:type="dxa" w:w="4535"/>
            <w:shd w:val="clear" w:color="auto" w:fill="F2F5FB"/>
          </w:tcPr>
          <w:p>
            <w:r/>
            <w:r>
              <w:rPr>
                <w:sz w:val="21"/>
              </w:rPr>
              <w:t>Notifications, reminders, escalations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Object Storage (S3-compatible)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Bi-directional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Workpaper and evidence storage</w:t>
            </w:r>
          </w:p>
        </w:tc>
      </w:tr>
      <w:tr>
        <w:tc>
          <w:tcPr>
            <w:tcW w:type="dxa" w:w="2551"/>
            <w:shd w:val="clear" w:color="auto" w:fill="F2F5FB"/>
          </w:tcPr>
          <w:p>
            <w:r/>
            <w:r>
              <w:rPr>
                <w:sz w:val="21"/>
              </w:rPr>
              <w:t>Webhook (export to ITSM)</w:t>
            </w:r>
          </w:p>
        </w:tc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Outbound</w:t>
            </w:r>
          </w:p>
        </w:tc>
        <w:tc>
          <w:tcPr>
            <w:tcW w:type="dxa" w:w="4535"/>
            <w:shd w:val="clear" w:color="auto" w:fill="F2F5FB"/>
          </w:tcPr>
          <w:p>
            <w:r/>
            <w:r>
              <w:rPr>
                <w:sz w:val="21"/>
              </w:rPr>
              <w:t>Findings/CAPA push to ServiceNow / Jira (roadmap)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1"/>
              </w:rPr>
              <w:t>SIEM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Outbound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Activity log streaming</w:t>
            </w:r>
          </w:p>
        </w:tc>
      </w:tr>
    </w:tbl>
    <w:p>
      <w:pPr>
        <w:pStyle w:val="Heading1"/>
      </w:pPr>
      <w:r>
        <w:t>9. Scheduled Jobs</w:t>
      </w:r>
    </w:p>
    <w:p>
      <w:pPr>
        <w:pStyle w:val="ListBullet"/>
      </w:pPr>
      <w:r>
        <w:t>Daily 08:00 UTC — /api/cron/due-reminders sends notifications for items due within 24 hours (evidence, CAPA, policy reviews)</w:t>
      </w:r>
    </w:p>
    <w:p>
      <w:pPr>
        <w:pStyle w:val="ListBullet"/>
      </w:pPr>
      <w:r>
        <w:t>Configurable escalation rules per finding severity</w:t>
      </w:r>
    </w:p>
    <w:p>
      <w:pPr>
        <w:pStyle w:val="Heading1"/>
      </w:pPr>
      <w:r>
        <w:t>10. Internationalisation</w:t>
      </w:r>
    </w:p>
    <w:p>
      <w:r>
        <w:rPr>
          <w:b w:val="0"/>
          <w:i w:val="0"/>
        </w:rPr>
        <w:t>The platform is shipped with English, Arabic (RTL), and Latvian. Static UI strings are translated through a phrase-based t() function; user-entered data is translated dynamically by the Python backend and cached in the DynamicTranslation table on create/edit only.</w:t>
      </w:r>
    </w:p>
    <w:p>
      <w:pPr>
        <w:pStyle w:val="Heading1"/>
      </w:pPr>
      <w:r>
        <w:t>11. Non-Functional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Aspect</w:t>
            </w:r>
          </w:p>
        </w:tc>
        <w:tc>
          <w:tcPr>
            <w:tcW w:type="dxa" w:w="5953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Target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Page load (P95)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&lt; 2.0 seconds on broadband</w:t>
            </w:r>
          </w:p>
        </w:tc>
      </w:tr>
      <w:tr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API response (P95)</w:t>
            </w:r>
          </w:p>
        </w:tc>
        <w:tc>
          <w:tcPr>
            <w:tcW w:type="dxa" w:w="5953"/>
            <w:shd w:val="clear" w:color="auto" w:fill="F2F5FB"/>
          </w:tcPr>
          <w:p>
            <w:r/>
            <w:r>
              <w:rPr>
                <w:sz w:val="21"/>
              </w:rPr>
              <w:t>&lt; 600 ms for read, &lt; 1.5 s for write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Concurrent users per tenant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500+ on standard tier</w:t>
            </w:r>
          </w:p>
        </w:tc>
      </w:tr>
      <w:tr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Uptime SLA</w:t>
            </w:r>
          </w:p>
        </w:tc>
        <w:tc>
          <w:tcPr>
            <w:tcW w:type="dxa" w:w="5953"/>
            <w:shd w:val="clear" w:color="auto" w:fill="F2F5FB"/>
          </w:tcPr>
          <w:p>
            <w:r/>
            <w:r>
              <w:rPr>
                <w:sz w:val="21"/>
              </w:rPr>
              <w:t>99.5% on UAT, 99.9% on Production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RPO / RTO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RPO 24 h (daily backup), RTO 4 h</w:t>
            </w:r>
          </w:p>
        </w:tc>
      </w:tr>
      <w:tr>
        <w:tc>
          <w:tcPr>
            <w:tcW w:type="dxa" w:w="2835"/>
            <w:shd w:val="clear" w:color="auto" w:fill="F2F5FB"/>
          </w:tcPr>
          <w:p>
            <w:r/>
            <w:r>
              <w:rPr>
                <w:sz w:val="21"/>
              </w:rPr>
              <w:t>Browser support</w:t>
            </w:r>
          </w:p>
        </w:tc>
        <w:tc>
          <w:tcPr>
            <w:tcW w:type="dxa" w:w="5953"/>
            <w:shd w:val="clear" w:color="auto" w:fill="F2F5FB"/>
          </w:tcPr>
          <w:p>
            <w:r/>
            <w:r>
              <w:rPr>
                <w:sz w:val="21"/>
              </w:rPr>
              <w:t>Chrome, Edge, Firefox, Safari — current and prior major versions</w:t>
            </w:r>
          </w:p>
        </w:tc>
      </w:tr>
    </w:tbl>
    <w:p>
      <w:pPr>
        <w:pStyle w:val="Heading1"/>
      </w:pPr>
      <w:r>
        <w:t>12.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Term</w:t>
            </w:r>
          </w:p>
        </w:tc>
        <w:tc>
          <w:tcPr>
            <w:tcW w:type="dxa" w:w="6803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CAPA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Corrective and Preventive Action</w:t>
            </w:r>
          </w:p>
        </w:tc>
      </w:tr>
      <w:tr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Engagement</w:t>
            </w:r>
          </w:p>
        </w:tc>
        <w:tc>
          <w:tcPr>
            <w:tcW w:type="dxa" w:w="6803"/>
            <w:shd w:val="clear" w:color="auto" w:fill="F2F5FB"/>
          </w:tcPr>
          <w:p>
            <w:r/>
            <w:r>
              <w:rPr>
                <w:sz w:val="21"/>
              </w:rPr>
              <w:t>A discrete internal audit assignment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Workpaper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Evidence-bearing document created during fieldwork</w:t>
            </w:r>
          </w:p>
        </w:tc>
      </w:tr>
      <w:tr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Risk Universe</w:t>
            </w:r>
          </w:p>
        </w:tc>
        <w:tc>
          <w:tcPr>
            <w:tcW w:type="dxa" w:w="6803"/>
            <w:shd w:val="clear" w:color="auto" w:fill="F2F5FB"/>
          </w:tcPr>
          <w:p>
            <w:r/>
            <w:r>
              <w:rPr>
                <w:sz w:val="21"/>
              </w:rPr>
              <w:t>Master catalogue of risks the organisation tracks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Audit Universe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Master catalogue of auditable entities and processes</w:t>
            </w:r>
          </w:p>
        </w:tc>
      </w:tr>
      <w:tr>
        <w:tc>
          <w:tcPr>
            <w:tcW w:type="dxa" w:w="1984"/>
            <w:shd w:val="clear" w:color="auto" w:fill="F2F5FB"/>
          </w:tcPr>
          <w:p>
            <w:r/>
            <w:r>
              <w:rPr>
                <w:sz w:val="21"/>
              </w:rPr>
              <w:t>RBAC</w:t>
            </w:r>
          </w:p>
        </w:tc>
        <w:tc>
          <w:tcPr>
            <w:tcW w:type="dxa" w:w="6803"/>
            <w:shd w:val="clear" w:color="auto" w:fill="F2F5FB"/>
          </w:tcPr>
          <w:p>
            <w:r/>
            <w:r>
              <w:rPr>
                <w:sz w:val="21"/>
              </w:rPr>
              <w:t>Role-Based Access Control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88E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