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E88E5"/>
          <w:sz w:val="28"/>
        </w:rPr>
        <w:t>INTERNAL AUDIT PLATFORM</w:t>
      </w:r>
    </w:p>
    <w:p>
      <w:pPr>
        <w:jc w:val="center"/>
      </w:pPr>
      <w:r>
        <w:rPr>
          <w:b/>
          <w:color w:val="0B3D91"/>
          <w:sz w:val="72"/>
        </w:rPr>
        <w:t>Unique Selling Propositions</w:t>
      </w:r>
    </w:p>
    <w:p>
      <w:pPr>
        <w:jc w:val="center"/>
        <w:pBdr>
          <w:bottom w:val="single" w:sz="8" w:space="1" w:color="1E88E5"/>
        </w:pBdr>
      </w:pPr>
    </w:p>
    <w:p>
      <w:pPr>
        <w:jc w:val="center"/>
      </w:pPr>
      <w:r>
        <w:rPr>
          <w:i/>
          <w:color w:val="555F77"/>
          <w:sz w:val="28"/>
        </w:rPr>
        <w:t>What makes this platform different — and why that matters</w:t>
      </w:r>
    </w:p>
    <w:p>
      <w:pPr>
        <w:jc w:val="center"/>
      </w:pPr>
      <w:r>
        <w:rPr>
          <w:color w:val="555F77"/>
          <w:sz w:val="22"/>
        </w:rPr>
        <w:br/>
        <w:br/>
        <w:t>Glimmora International</w:t>
        <w:br/>
        <w:t>info@glimmora.ai</w:t>
      </w:r>
    </w:p>
    <w:p>
      <w:r>
        <w:br w:type="page"/>
      </w:r>
    </w:p>
    <w:p>
      <w:pPr>
        <w:pStyle w:val="Heading1"/>
      </w:pPr>
      <w:r>
        <w:t>1. Executive Summary</w:t>
      </w:r>
    </w:p>
    <w:p>
      <w:r>
        <w:rPr>
          <w:b w:val="0"/>
          <w:i w:val="0"/>
        </w:rPr>
        <w:t>Internal audit tools tend to be one of two things: generic workflow systems bent into shape, or aging monoliths that predate modern web architecture. Our platform sits between those two extremes — purpose-built for internal audit, but on a modern stack that supports AI, multi-tenancy, and Arabic / Latvian RTL/LTR from day one. This document outlines the specific points of difference and the business value each one creates.</w:t>
      </w:r>
    </w:p>
    <w:p>
      <w:pPr>
        <w:pStyle w:val="Heading1"/>
      </w:pPr>
      <w:r>
        <w:t>2. USP Summary Table</w:t>
      </w:r>
    </w:p>
    <w:tbl>
      <w:tblPr>
        <w:tblStyle w:val="LightGrid-Accent1"/>
        <w:tblW w:type="auto" w:w="0"/>
        <w:tblLook w:firstColumn="1" w:firstRow="1" w:lastColumn="0" w:lastRow="0" w:noHBand="0" w:noVBand="1" w:val="04A0"/>
      </w:tblPr>
      <w:tblGrid>
        <w:gridCol w:w="3216"/>
        <w:gridCol w:w="3216"/>
        <w:gridCol w:w="3216"/>
      </w:tblGrid>
      <w:tr>
        <w:tc>
          <w:tcPr>
            <w:tcW w:type="dxa" w:w="567"/>
            <w:shd w:val="clear" w:color="auto" w:fill="0B3D91"/>
            <w:vAlign w:val="center"/>
          </w:tcPr>
          <w:p>
            <w:r/>
            <w:r>
              <w:rPr>
                <w:b/>
                <w:color w:val="FFFFFF"/>
                <w:sz w:val="22"/>
              </w:rPr>
              <w:t>#</w:t>
            </w:r>
          </w:p>
        </w:tc>
        <w:tc>
          <w:tcPr>
            <w:tcW w:type="dxa" w:w="2835"/>
            <w:shd w:val="clear" w:color="auto" w:fill="0B3D91"/>
            <w:vAlign w:val="center"/>
          </w:tcPr>
          <w:p>
            <w:r/>
            <w:r>
              <w:rPr>
                <w:b/>
                <w:color w:val="FFFFFF"/>
                <w:sz w:val="22"/>
              </w:rPr>
              <w:t>USP</w:t>
            </w:r>
          </w:p>
        </w:tc>
        <w:tc>
          <w:tcPr>
            <w:tcW w:type="dxa" w:w="5386"/>
            <w:shd w:val="clear" w:color="auto" w:fill="0B3D91"/>
            <w:vAlign w:val="center"/>
          </w:tcPr>
          <w:p>
            <w:r/>
            <w:r>
              <w:rPr>
                <w:b/>
                <w:color w:val="FFFFFF"/>
                <w:sz w:val="22"/>
              </w:rPr>
              <w:t>Buyer Value</w:t>
            </w:r>
          </w:p>
        </w:tc>
      </w:tr>
      <w:tr>
        <w:tc>
          <w:tcPr>
            <w:tcW w:type="dxa" w:w="567"/>
          </w:tcPr>
          <w:p>
            <w:r/>
            <w:r>
              <w:rPr>
                <w:sz w:val="21"/>
              </w:rPr>
              <w:t>1</w:t>
            </w:r>
          </w:p>
        </w:tc>
        <w:tc>
          <w:tcPr>
            <w:tcW w:type="dxa" w:w="2835"/>
          </w:tcPr>
          <w:p>
            <w:r/>
            <w:r>
              <w:rPr>
                <w:sz w:val="21"/>
              </w:rPr>
              <w:t>Risk-driven audit universe</w:t>
            </w:r>
          </w:p>
        </w:tc>
        <w:tc>
          <w:tcPr>
            <w:tcW w:type="dxa" w:w="5386"/>
          </w:tcPr>
          <w:p>
            <w:r/>
            <w:r>
              <w:rPr>
                <w:sz w:val="21"/>
              </w:rPr>
              <w:t>Defensible, board-ready coverage story</w:t>
            </w:r>
          </w:p>
        </w:tc>
      </w:tr>
      <w:tr>
        <w:tc>
          <w:tcPr>
            <w:tcW w:type="dxa" w:w="567"/>
            <w:shd w:val="clear" w:color="auto" w:fill="F2F5FB"/>
          </w:tcPr>
          <w:p>
            <w:r/>
            <w:r>
              <w:rPr>
                <w:sz w:val="21"/>
              </w:rPr>
              <w:t>2</w:t>
            </w:r>
          </w:p>
        </w:tc>
        <w:tc>
          <w:tcPr>
            <w:tcW w:type="dxa" w:w="2835"/>
            <w:shd w:val="clear" w:color="auto" w:fill="F2F5FB"/>
          </w:tcPr>
          <w:p>
            <w:r/>
            <w:r>
              <w:rPr>
                <w:sz w:val="21"/>
              </w:rPr>
              <w:t>AI-augmented audit lifecycle</w:t>
            </w:r>
          </w:p>
        </w:tc>
        <w:tc>
          <w:tcPr>
            <w:tcW w:type="dxa" w:w="5386"/>
            <w:shd w:val="clear" w:color="auto" w:fill="F2F5FB"/>
          </w:tcPr>
          <w:p>
            <w:r/>
            <w:r>
              <w:rPr>
                <w:sz w:val="21"/>
              </w:rPr>
              <w:t>Time saved at every stage without losing human control</w:t>
            </w:r>
          </w:p>
        </w:tc>
      </w:tr>
      <w:tr>
        <w:tc>
          <w:tcPr>
            <w:tcW w:type="dxa" w:w="567"/>
          </w:tcPr>
          <w:p>
            <w:r/>
            <w:r>
              <w:rPr>
                <w:sz w:val="21"/>
              </w:rPr>
              <w:t>3</w:t>
            </w:r>
          </w:p>
        </w:tc>
        <w:tc>
          <w:tcPr>
            <w:tcW w:type="dxa" w:w="2835"/>
          </w:tcPr>
          <w:p>
            <w:r/>
            <w:r>
              <w:rPr>
                <w:sz w:val="21"/>
              </w:rPr>
              <w:t>Native multi-tenancy with single-tenant option</w:t>
            </w:r>
          </w:p>
        </w:tc>
        <w:tc>
          <w:tcPr>
            <w:tcW w:type="dxa" w:w="5386"/>
          </w:tcPr>
          <w:p>
            <w:r/>
            <w:r>
              <w:rPr>
                <w:sz w:val="21"/>
              </w:rPr>
              <w:t>Same product, your choice of deployment</w:t>
            </w:r>
          </w:p>
        </w:tc>
      </w:tr>
      <w:tr>
        <w:tc>
          <w:tcPr>
            <w:tcW w:type="dxa" w:w="567"/>
            <w:shd w:val="clear" w:color="auto" w:fill="F2F5FB"/>
          </w:tcPr>
          <w:p>
            <w:r/>
            <w:r>
              <w:rPr>
                <w:sz w:val="21"/>
              </w:rPr>
              <w:t>4</w:t>
            </w:r>
          </w:p>
        </w:tc>
        <w:tc>
          <w:tcPr>
            <w:tcW w:type="dxa" w:w="2835"/>
            <w:shd w:val="clear" w:color="auto" w:fill="F2F5FB"/>
          </w:tcPr>
          <w:p>
            <w:r/>
            <w:r>
              <w:rPr>
                <w:sz w:val="21"/>
              </w:rPr>
              <w:t>End-to-end CAPA management with AI closure review</w:t>
            </w:r>
          </w:p>
        </w:tc>
        <w:tc>
          <w:tcPr>
            <w:tcW w:type="dxa" w:w="5386"/>
            <w:shd w:val="clear" w:color="auto" w:fill="F2F5FB"/>
          </w:tcPr>
          <w:p>
            <w:r/>
            <w:r>
              <w:rPr>
                <w:sz w:val="21"/>
              </w:rPr>
              <w:t>Findings actually close — and stay closed</w:t>
            </w:r>
          </w:p>
        </w:tc>
      </w:tr>
      <w:tr>
        <w:tc>
          <w:tcPr>
            <w:tcW w:type="dxa" w:w="567"/>
          </w:tcPr>
          <w:p>
            <w:r/>
            <w:r>
              <w:rPr>
                <w:sz w:val="21"/>
              </w:rPr>
              <w:t>5</w:t>
            </w:r>
          </w:p>
        </w:tc>
        <w:tc>
          <w:tcPr>
            <w:tcW w:type="dxa" w:w="2835"/>
          </w:tcPr>
          <w:p>
            <w:r/>
            <w:r>
              <w:rPr>
                <w:sz w:val="21"/>
              </w:rPr>
              <w:t>Document Library with full-text + AI search</w:t>
            </w:r>
          </w:p>
        </w:tc>
        <w:tc>
          <w:tcPr>
            <w:tcW w:type="dxa" w:w="5386"/>
          </w:tcPr>
          <w:p>
            <w:r/>
            <w:r>
              <w:rPr>
                <w:sz w:val="21"/>
              </w:rPr>
              <w:t>Past audits become a usable knowledge base</w:t>
            </w:r>
          </w:p>
        </w:tc>
      </w:tr>
      <w:tr>
        <w:tc>
          <w:tcPr>
            <w:tcW w:type="dxa" w:w="567"/>
            <w:shd w:val="clear" w:color="auto" w:fill="F2F5FB"/>
          </w:tcPr>
          <w:p>
            <w:r/>
            <w:r>
              <w:rPr>
                <w:sz w:val="21"/>
              </w:rPr>
              <w:t>6</w:t>
            </w:r>
          </w:p>
        </w:tc>
        <w:tc>
          <w:tcPr>
            <w:tcW w:type="dxa" w:w="2835"/>
            <w:shd w:val="clear" w:color="auto" w:fill="F2F5FB"/>
          </w:tcPr>
          <w:p>
            <w:r/>
            <w:r>
              <w:rPr>
                <w:sz w:val="21"/>
              </w:rPr>
              <w:t>Multilingual UI + dynamic data translation</w:t>
            </w:r>
          </w:p>
        </w:tc>
        <w:tc>
          <w:tcPr>
            <w:tcW w:type="dxa" w:w="5386"/>
            <w:shd w:val="clear" w:color="auto" w:fill="F2F5FB"/>
          </w:tcPr>
          <w:p>
            <w:r/>
            <w:r>
              <w:rPr>
                <w:sz w:val="21"/>
              </w:rPr>
              <w:t>True regional deployment, not a translation project</w:t>
            </w:r>
          </w:p>
        </w:tc>
      </w:tr>
      <w:tr>
        <w:tc>
          <w:tcPr>
            <w:tcW w:type="dxa" w:w="567"/>
          </w:tcPr>
          <w:p>
            <w:r/>
            <w:r>
              <w:rPr>
                <w:sz w:val="21"/>
              </w:rPr>
              <w:t>7</w:t>
            </w:r>
          </w:p>
        </w:tc>
        <w:tc>
          <w:tcPr>
            <w:tcW w:type="dxa" w:w="2835"/>
          </w:tcPr>
          <w:p>
            <w:r/>
            <w:r>
              <w:rPr>
                <w:sz w:val="21"/>
              </w:rPr>
              <w:t>Encryption + RBAC built in from day one</w:t>
            </w:r>
          </w:p>
        </w:tc>
        <w:tc>
          <w:tcPr>
            <w:tcW w:type="dxa" w:w="5386"/>
          </w:tcPr>
          <w:p>
            <w:r/>
            <w:r>
              <w:rPr>
                <w:sz w:val="21"/>
              </w:rPr>
              <w:t>Pass infosec review without bolt-ons</w:t>
            </w:r>
          </w:p>
        </w:tc>
      </w:tr>
      <w:tr>
        <w:tc>
          <w:tcPr>
            <w:tcW w:type="dxa" w:w="567"/>
            <w:shd w:val="clear" w:color="auto" w:fill="F2F5FB"/>
          </w:tcPr>
          <w:p>
            <w:r/>
            <w:r>
              <w:rPr>
                <w:sz w:val="21"/>
              </w:rPr>
              <w:t>8</w:t>
            </w:r>
          </w:p>
        </w:tc>
        <w:tc>
          <w:tcPr>
            <w:tcW w:type="dxa" w:w="2835"/>
            <w:shd w:val="clear" w:color="auto" w:fill="F2F5FB"/>
          </w:tcPr>
          <w:p>
            <w:r/>
            <w:r>
              <w:rPr>
                <w:sz w:val="21"/>
              </w:rPr>
              <w:t>Self-service auditee dashboard</w:t>
            </w:r>
          </w:p>
        </w:tc>
        <w:tc>
          <w:tcPr>
            <w:tcW w:type="dxa" w:w="5386"/>
            <w:shd w:val="clear" w:color="auto" w:fill="F2F5FB"/>
          </w:tcPr>
          <w:p>
            <w:r/>
            <w:r>
              <w:rPr>
                <w:sz w:val="21"/>
              </w:rPr>
              <w:t>Cuts evidence chase time dramatically</w:t>
            </w:r>
          </w:p>
        </w:tc>
      </w:tr>
      <w:tr>
        <w:tc>
          <w:tcPr>
            <w:tcW w:type="dxa" w:w="567"/>
          </w:tcPr>
          <w:p>
            <w:r/>
            <w:r>
              <w:rPr>
                <w:sz w:val="21"/>
              </w:rPr>
              <w:t>9</w:t>
            </w:r>
          </w:p>
        </w:tc>
        <w:tc>
          <w:tcPr>
            <w:tcW w:type="dxa" w:w="2835"/>
          </w:tcPr>
          <w:p>
            <w:r/>
            <w:r>
              <w:rPr>
                <w:sz w:val="21"/>
              </w:rPr>
              <w:t>Modern stack — Next.js 16 + Python AI</w:t>
            </w:r>
          </w:p>
        </w:tc>
        <w:tc>
          <w:tcPr>
            <w:tcW w:type="dxa" w:w="5386"/>
          </w:tcPr>
          <w:p>
            <w:r/>
            <w:r>
              <w:rPr>
                <w:sz w:val="21"/>
              </w:rPr>
              <w:t>Future-proof, hireable, fast to extend</w:t>
            </w:r>
          </w:p>
        </w:tc>
      </w:tr>
      <w:tr>
        <w:tc>
          <w:tcPr>
            <w:tcW w:type="dxa" w:w="567"/>
            <w:shd w:val="clear" w:color="auto" w:fill="F2F5FB"/>
          </w:tcPr>
          <w:p>
            <w:r/>
            <w:r>
              <w:rPr>
                <w:sz w:val="21"/>
              </w:rPr>
              <w:t>10</w:t>
            </w:r>
          </w:p>
        </w:tc>
        <w:tc>
          <w:tcPr>
            <w:tcW w:type="dxa" w:w="2835"/>
            <w:shd w:val="clear" w:color="auto" w:fill="F2F5FB"/>
          </w:tcPr>
          <w:p>
            <w:r/>
            <w:r>
              <w:rPr>
                <w:sz w:val="21"/>
              </w:rPr>
              <w:t>Single-branch deploy with UAT/Prod gating</w:t>
            </w:r>
          </w:p>
        </w:tc>
        <w:tc>
          <w:tcPr>
            <w:tcW w:type="dxa" w:w="5386"/>
            <w:shd w:val="clear" w:color="auto" w:fill="F2F5FB"/>
          </w:tcPr>
          <w:p>
            <w:r/>
            <w:r>
              <w:rPr>
                <w:sz w:val="21"/>
              </w:rPr>
              <w:t>Faster release cycles with safer rollouts</w:t>
            </w:r>
          </w:p>
        </w:tc>
      </w:tr>
    </w:tbl>
    <w:p>
      <w:pPr>
        <w:pStyle w:val="Heading1"/>
      </w:pPr>
      <w:r>
        <w:t>3. USPs in Detail</w:t>
      </w:r>
    </w:p>
    <w:p>
      <w:pPr>
        <w:pStyle w:val="Heading2"/>
      </w:pPr>
      <w:r>
        <w:t>3.1 Risk-Driven Audit Universe</w:t>
      </w:r>
    </w:p>
    <w:p>
      <w:r>
        <w:rPr>
          <w:b w:val="0"/>
          <w:i w:val="0"/>
        </w:rPr>
        <w:t>Most legacy tools store risks and audits as parallel lists. Our platform binds the Risk Universe and Audit Universe so that every engagement on the annual plan can be traced back to the risks it is intended to address. AI-Recommended Audits surface gaps where high-rated risks have no recent coverage.</w:t>
      </w:r>
    </w:p>
    <w:tbl>
      <w:tblPr>
        <w:tblW w:type="auto" w:w="0"/>
        <w:tblLook w:firstColumn="1" w:firstRow="1" w:lastColumn="0" w:lastRow="0" w:noHBand="0" w:noVBand="1" w:val="04A0"/>
      </w:tblPr>
      <w:tblGrid>
        <w:gridCol w:w="9648"/>
      </w:tblGrid>
      <w:tr>
        <w:tc>
          <w:tcPr>
            <w:tcW w:type="dxa" w:w="9648"/>
            <w:shd w:val="clear" w:color="auto" w:fill="F2F5FB"/>
          </w:tcPr>
          <w:p>
            <w:r/>
            <w:r>
              <w:rPr>
                <w:b/>
                <w:color w:val="0B3D91"/>
                <w:sz w:val="22"/>
              </w:rPr>
              <w:t>Why it matters</w:t>
              <w:br/>
            </w:r>
            <w:r>
              <w:rPr>
                <w:color w:val="1F2A44"/>
                <w:sz w:val="21"/>
              </w:rPr>
              <w:t>Audit Heads can defend their plan to the Audit Committee with evidence, not narrative.</w:t>
            </w:r>
          </w:p>
        </w:tc>
      </w:tr>
    </w:tbl>
    <w:p>
      <w:pPr>
        <w:pStyle w:val="Heading2"/>
      </w:pPr>
      <w:r>
        <w:t>3.2 AI-Augmented Lifecycle</w:t>
      </w:r>
    </w:p>
    <w:p>
      <w:r>
        <w:rPr>
          <w:b w:val="0"/>
          <w:i w:val="0"/>
        </w:rPr>
        <w:t>AI is embedded in the workflow — not bolted on as a side panel. AI suggests risks from process descriptions, drafts workpapers based on the process and risk, answers questions over ingested evidence, and reviews CAPA closure evidence for sufficiency. Every AI action is reviewable and reversible.</w:t>
      </w:r>
    </w:p>
    <w:tbl>
      <w:tblPr>
        <w:tblW w:type="auto" w:w="0"/>
        <w:tblLook w:firstColumn="1" w:firstRow="1" w:lastColumn="0" w:lastRow="0" w:noHBand="0" w:noVBand="1" w:val="04A0"/>
      </w:tblPr>
      <w:tblGrid>
        <w:gridCol w:w="9648"/>
      </w:tblGrid>
      <w:tr>
        <w:tc>
          <w:tcPr>
            <w:tcW w:type="dxa" w:w="9648"/>
            <w:shd w:val="clear" w:color="auto" w:fill="F2F5FB"/>
          </w:tcPr>
          <w:p>
            <w:r/>
            <w:r>
              <w:rPr>
                <w:b/>
                <w:color w:val="0B3D91"/>
                <w:sz w:val="22"/>
              </w:rPr>
              <w:t>Why it matters</w:t>
              <w:br/>
            </w:r>
            <w:r>
              <w:rPr>
                <w:color w:val="1F2A44"/>
                <w:sz w:val="21"/>
              </w:rPr>
              <w:t>Productivity gains of 30–50% on workpaper drafting and evidence review, without sacrificing auditor judgement.</w:t>
            </w:r>
          </w:p>
        </w:tc>
      </w:tr>
    </w:tbl>
    <w:p>
      <w:pPr>
        <w:pStyle w:val="Heading2"/>
      </w:pPr>
      <w:r>
        <w:t>3.3 Multi-Tenant by Design</w:t>
      </w:r>
    </w:p>
    <w:p>
      <w:r>
        <w:rPr>
          <w:b w:val="0"/>
          <w:i w:val="0"/>
        </w:rPr>
        <w:t>The data model is multi-tenant from the schema up — every business entity carries a customerAccountId that is enforced at the query layer. The same product can be deployed as a single-tenant instance on the customer's cloud with no code fork.</w:t>
      </w:r>
    </w:p>
    <w:tbl>
      <w:tblPr>
        <w:tblW w:type="auto" w:w="0"/>
        <w:tblLook w:firstColumn="1" w:firstRow="1" w:lastColumn="0" w:lastRow="0" w:noHBand="0" w:noVBand="1" w:val="04A0"/>
      </w:tblPr>
      <w:tblGrid>
        <w:gridCol w:w="9648"/>
      </w:tblGrid>
      <w:tr>
        <w:tc>
          <w:tcPr>
            <w:tcW w:type="dxa" w:w="9648"/>
            <w:shd w:val="clear" w:color="auto" w:fill="F2F5FB"/>
          </w:tcPr>
          <w:p>
            <w:r/>
            <w:r>
              <w:rPr>
                <w:b/>
                <w:color w:val="0B3D91"/>
                <w:sz w:val="22"/>
              </w:rPr>
              <w:t>Why it matters</w:t>
              <w:br/>
            </w:r>
            <w:r>
              <w:rPr>
                <w:color w:val="1F2A44"/>
                <w:sz w:val="21"/>
              </w:rPr>
              <w:t>Buyers don't choose between shared SaaS and bespoke deployment — they get both.</w:t>
            </w:r>
          </w:p>
        </w:tc>
      </w:tr>
    </w:tbl>
    <w:p>
      <w:pPr>
        <w:pStyle w:val="Heading2"/>
      </w:pPr>
      <w:r>
        <w:t>3.4 CAPA Lifecycle That Closes</w:t>
      </w:r>
    </w:p>
    <w:p>
      <w:r>
        <w:rPr>
          <w:b w:val="0"/>
          <w:i w:val="0"/>
        </w:rPr>
        <w:t>Most platforms track CAPA as a status column. Ours treats CAPA as a first-class workflow with owner, due date, evidence attachments, and an AI review step that flags weak or off-topic closure evidence before the auditor accepts it.</w:t>
      </w:r>
    </w:p>
    <w:tbl>
      <w:tblPr>
        <w:tblW w:type="auto" w:w="0"/>
        <w:tblLook w:firstColumn="1" w:firstRow="1" w:lastColumn="0" w:lastRow="0" w:noHBand="0" w:noVBand="1" w:val="04A0"/>
      </w:tblPr>
      <w:tblGrid>
        <w:gridCol w:w="9648"/>
      </w:tblGrid>
      <w:tr>
        <w:tc>
          <w:tcPr>
            <w:tcW w:type="dxa" w:w="9648"/>
            <w:shd w:val="clear" w:color="auto" w:fill="F2F5FB"/>
          </w:tcPr>
          <w:p>
            <w:r/>
            <w:r>
              <w:rPr>
                <w:b/>
                <w:color w:val="0B3D91"/>
                <w:sz w:val="22"/>
              </w:rPr>
              <w:t>Why it matters</w:t>
              <w:br/>
            </w:r>
            <w:r>
              <w:rPr>
                <w:color w:val="1F2A44"/>
                <w:sz w:val="21"/>
              </w:rPr>
              <w:t>Repeat findings drop because closures are substantive, not cosmetic.</w:t>
            </w:r>
          </w:p>
        </w:tc>
      </w:tr>
    </w:tbl>
    <w:p>
      <w:pPr>
        <w:pStyle w:val="Heading2"/>
      </w:pPr>
      <w:r>
        <w:t>3.5 Document Library With AI Search</w:t>
      </w:r>
    </w:p>
    <w:p>
      <w:r>
        <w:rPr>
          <w:b w:val="0"/>
          <w:i w:val="0"/>
        </w:rPr>
        <w:t>Every workpaper, finding, report, and evidence file is indexed by the Python AI backend. Auditors can ask natural-language questions across years of past audits and get cited passages back.</w:t>
      </w:r>
    </w:p>
    <w:tbl>
      <w:tblPr>
        <w:tblW w:type="auto" w:w="0"/>
        <w:tblLook w:firstColumn="1" w:firstRow="1" w:lastColumn="0" w:lastRow="0" w:noHBand="0" w:noVBand="1" w:val="04A0"/>
      </w:tblPr>
      <w:tblGrid>
        <w:gridCol w:w="9648"/>
      </w:tblGrid>
      <w:tr>
        <w:tc>
          <w:tcPr>
            <w:tcW w:type="dxa" w:w="9648"/>
            <w:shd w:val="clear" w:color="auto" w:fill="F2F5FB"/>
          </w:tcPr>
          <w:p>
            <w:r/>
            <w:r>
              <w:rPr>
                <w:b/>
                <w:color w:val="0B3D91"/>
                <w:sz w:val="22"/>
              </w:rPr>
              <w:t>Why it matters</w:t>
              <w:br/>
            </w:r>
            <w:r>
              <w:rPr>
                <w:color w:val="1F2A44"/>
                <w:sz w:val="21"/>
              </w:rPr>
              <w:t>Onboarding new auditors is dramatically faster; corporate audit memory survives staff turnover.</w:t>
            </w:r>
          </w:p>
        </w:tc>
      </w:tr>
    </w:tbl>
    <w:p>
      <w:pPr>
        <w:pStyle w:val="Heading2"/>
      </w:pPr>
      <w:r>
        <w:t>3.6 Multilingual From Day One</w:t>
      </w:r>
    </w:p>
    <w:p>
      <w:r>
        <w:rPr>
          <w:b w:val="0"/>
          <w:i w:val="0"/>
        </w:rPr>
        <w:t>English, Arabic (RTL), and Latvian (LTR) ship in the box. Static UI uses a phrase-based translation system; user-entered data is translated dynamically by the AI backend on create/edit and cached. New languages can be added without code changes.</w:t>
      </w:r>
    </w:p>
    <w:tbl>
      <w:tblPr>
        <w:tblW w:type="auto" w:w="0"/>
        <w:tblLook w:firstColumn="1" w:firstRow="1" w:lastColumn="0" w:lastRow="0" w:noHBand="0" w:noVBand="1" w:val="04A0"/>
      </w:tblPr>
      <w:tblGrid>
        <w:gridCol w:w="9648"/>
      </w:tblGrid>
      <w:tr>
        <w:tc>
          <w:tcPr>
            <w:tcW w:type="dxa" w:w="9648"/>
            <w:shd w:val="clear" w:color="auto" w:fill="F2F5FB"/>
          </w:tcPr>
          <w:p>
            <w:r/>
            <w:r>
              <w:rPr>
                <w:b/>
                <w:color w:val="0B3D91"/>
                <w:sz w:val="22"/>
              </w:rPr>
              <w:t>Why it matters</w:t>
              <w:br/>
            </w:r>
            <w:r>
              <w:rPr>
                <w:color w:val="1F2A44"/>
                <w:sz w:val="21"/>
              </w:rPr>
              <w:t>Buyers in the Gulf, Baltics, and other regional markets get a native experience, not a half-translated US product.</w:t>
            </w:r>
          </w:p>
        </w:tc>
      </w:tr>
    </w:tbl>
    <w:p>
      <w:pPr>
        <w:pStyle w:val="Heading2"/>
      </w:pPr>
      <w:r>
        <w:t>3.7 Security Built In, Not Bolted On</w:t>
      </w:r>
    </w:p>
    <w:p>
      <w:r>
        <w:rPr>
          <w:b w:val="0"/>
          <w:i w:val="0"/>
        </w:rPr>
        <w:t>AES-256-GCM field-level encryption, TLS 1.2+, RBAC enforced at three layers, and a documented 90-day master-key rotation runbook. Encryption can be toggled per environment so UAT and Production can be validated independently.</w:t>
      </w:r>
    </w:p>
    <w:tbl>
      <w:tblPr>
        <w:tblW w:type="auto" w:w="0"/>
        <w:tblLook w:firstColumn="1" w:firstRow="1" w:lastColumn="0" w:lastRow="0" w:noHBand="0" w:noVBand="1" w:val="04A0"/>
      </w:tblPr>
      <w:tblGrid>
        <w:gridCol w:w="9648"/>
      </w:tblGrid>
      <w:tr>
        <w:tc>
          <w:tcPr>
            <w:tcW w:type="dxa" w:w="9648"/>
            <w:shd w:val="clear" w:color="auto" w:fill="F2F5FB"/>
          </w:tcPr>
          <w:p>
            <w:r/>
            <w:r>
              <w:rPr>
                <w:b/>
                <w:color w:val="0B3D91"/>
                <w:sz w:val="22"/>
              </w:rPr>
              <w:t>Why it matters</w:t>
              <w:br/>
            </w:r>
            <w:r>
              <w:rPr>
                <w:color w:val="1F2A44"/>
                <w:sz w:val="21"/>
              </w:rPr>
              <w:t>Passes most infosec reviews on first pass; reduces sales cycle by weeks.</w:t>
            </w:r>
          </w:p>
        </w:tc>
      </w:tr>
    </w:tbl>
    <w:p>
      <w:pPr>
        <w:pStyle w:val="Heading2"/>
      </w:pPr>
      <w:r>
        <w:t>3.8 Self-Service Auditee Dashboard</w:t>
      </w:r>
    </w:p>
    <w:p>
      <w:r>
        <w:rPr>
          <w:b w:val="0"/>
          <w:i w:val="0"/>
        </w:rPr>
        <w:t>Auditees see every open evidence request, finding, and CAPA assigned to them in a single view, with context (related control, test objective, acceptance criteria) attached to each request.</w:t>
      </w:r>
    </w:p>
    <w:tbl>
      <w:tblPr>
        <w:tblW w:type="auto" w:w="0"/>
        <w:tblLook w:firstColumn="1" w:firstRow="1" w:lastColumn="0" w:lastRow="0" w:noHBand="0" w:noVBand="1" w:val="04A0"/>
      </w:tblPr>
      <w:tblGrid>
        <w:gridCol w:w="9648"/>
      </w:tblGrid>
      <w:tr>
        <w:tc>
          <w:tcPr>
            <w:tcW w:type="dxa" w:w="9648"/>
            <w:shd w:val="clear" w:color="auto" w:fill="F2F5FB"/>
          </w:tcPr>
          <w:p>
            <w:r/>
            <w:r>
              <w:rPr>
                <w:b/>
                <w:color w:val="0B3D91"/>
                <w:sz w:val="22"/>
              </w:rPr>
              <w:t>Why it matters</w:t>
              <w:br/>
            </w:r>
            <w:r>
              <w:rPr>
                <w:color w:val="1F2A44"/>
                <w:sz w:val="21"/>
              </w:rPr>
              <w:t>Less chasing by the audit team, faster fieldwork, better relationships between audit and business.</w:t>
            </w:r>
          </w:p>
        </w:tc>
      </w:tr>
    </w:tbl>
    <w:p>
      <w:pPr>
        <w:pStyle w:val="Heading2"/>
      </w:pPr>
      <w:r>
        <w:t>3.9 Modern Engineering Stack</w:t>
      </w:r>
    </w:p>
    <w:p>
      <w:r>
        <w:rPr>
          <w:b w:val="0"/>
          <w:i w:val="0"/>
        </w:rPr>
        <w:t>Next.js 16 App Router, React 19, Prisma 6, PostgreSQL, Python FastAPI, and a MongoDB-backed AI backend. Tooling and talent are widely available, and the stack is engineered for fast iteration.</w:t>
      </w:r>
    </w:p>
    <w:tbl>
      <w:tblPr>
        <w:tblW w:type="auto" w:w="0"/>
        <w:tblLook w:firstColumn="1" w:firstRow="1" w:lastColumn="0" w:lastRow="0" w:noHBand="0" w:noVBand="1" w:val="04A0"/>
      </w:tblPr>
      <w:tblGrid>
        <w:gridCol w:w="9648"/>
      </w:tblGrid>
      <w:tr>
        <w:tc>
          <w:tcPr>
            <w:tcW w:type="dxa" w:w="9648"/>
            <w:shd w:val="clear" w:color="auto" w:fill="F2F5FB"/>
          </w:tcPr>
          <w:p>
            <w:r/>
            <w:r>
              <w:rPr>
                <w:b/>
                <w:color w:val="0B3D91"/>
                <w:sz w:val="22"/>
              </w:rPr>
              <w:t>Why it matters</w:t>
              <w:br/>
            </w:r>
            <w:r>
              <w:rPr>
                <w:color w:val="1F2A44"/>
                <w:sz w:val="21"/>
              </w:rPr>
              <w:t>Customisations and integrations cost less and ship faster than on legacy platforms; no lock-in to a niche language or framework.</w:t>
            </w:r>
          </w:p>
        </w:tc>
      </w:tr>
    </w:tbl>
    <w:p>
      <w:pPr>
        <w:pStyle w:val="Heading2"/>
      </w:pPr>
      <w:r>
        <w:t>3.10 UAT/Prod Gating From a Single Branch</w:t>
      </w:r>
    </w:p>
    <w:p>
      <w:r>
        <w:rPr>
          <w:b w:val="0"/>
          <w:i w:val="0"/>
        </w:rPr>
        <w:t>A single GRC-MultiTenant branch deploys to both UAT and Production apps. Risky features ship dark behind per-app environment flags, are validated in UAT for 24–48 hours, then enabled in Production.</w:t>
      </w:r>
    </w:p>
    <w:tbl>
      <w:tblPr>
        <w:tblW w:type="auto" w:w="0"/>
        <w:tblLook w:firstColumn="1" w:firstRow="1" w:lastColumn="0" w:lastRow="0" w:noHBand="0" w:noVBand="1" w:val="04A0"/>
      </w:tblPr>
      <w:tblGrid>
        <w:gridCol w:w="9648"/>
      </w:tblGrid>
      <w:tr>
        <w:tc>
          <w:tcPr>
            <w:tcW w:type="dxa" w:w="9648"/>
            <w:shd w:val="clear" w:color="auto" w:fill="F2F5FB"/>
          </w:tcPr>
          <w:p>
            <w:r/>
            <w:r>
              <w:rPr>
                <w:b/>
                <w:color w:val="0B3D91"/>
                <w:sz w:val="22"/>
              </w:rPr>
              <w:t>Why it matters</w:t>
              <w:br/>
            </w:r>
            <w:r>
              <w:rPr>
                <w:color w:val="1F2A44"/>
                <w:sz w:val="21"/>
              </w:rPr>
              <w:t>Faster release cadence with measurably lower change-failure rate.</w:t>
            </w:r>
          </w:p>
        </w:tc>
      </w:tr>
    </w:tbl>
    <w:p>
      <w:pPr>
        <w:pStyle w:val="Heading1"/>
      </w:pPr>
      <w:r>
        <w:t>4. Competitive Positioning</w:t>
      </w:r>
    </w:p>
    <w:tbl>
      <w:tblPr>
        <w:tblStyle w:val="LightGrid-Accent1"/>
        <w:tblW w:type="auto" w:w="0"/>
        <w:tblLook w:firstColumn="1" w:firstRow="1" w:lastColumn="0" w:lastRow="0" w:noHBand="0" w:noVBand="1" w:val="04A0"/>
      </w:tblPr>
      <w:tblGrid>
        <w:gridCol w:w="2412"/>
        <w:gridCol w:w="2412"/>
        <w:gridCol w:w="2412"/>
        <w:gridCol w:w="2412"/>
      </w:tblGrid>
      <w:tr>
        <w:tc>
          <w:tcPr>
            <w:tcW w:type="dxa" w:w="3118"/>
            <w:shd w:val="clear" w:color="auto" w:fill="0B3D91"/>
            <w:vAlign w:val="center"/>
          </w:tcPr>
          <w:p>
            <w:r/>
            <w:r>
              <w:rPr>
                <w:b/>
                <w:color w:val="FFFFFF"/>
                <w:sz w:val="22"/>
              </w:rPr>
              <w:t>Capability</w:t>
            </w:r>
          </w:p>
        </w:tc>
        <w:tc>
          <w:tcPr>
            <w:tcW w:type="dxa" w:w="1701"/>
            <w:shd w:val="clear" w:color="auto" w:fill="0B3D91"/>
            <w:vAlign w:val="center"/>
          </w:tcPr>
          <w:p>
            <w:r/>
            <w:r>
              <w:rPr>
                <w:b/>
                <w:color w:val="FFFFFF"/>
                <w:sz w:val="22"/>
              </w:rPr>
              <w:t>Generic Workflow Tools</w:t>
            </w:r>
          </w:p>
        </w:tc>
        <w:tc>
          <w:tcPr>
            <w:tcW w:type="dxa" w:w="1701"/>
            <w:shd w:val="clear" w:color="auto" w:fill="0B3D91"/>
            <w:vAlign w:val="center"/>
          </w:tcPr>
          <w:p>
            <w:r/>
            <w:r>
              <w:rPr>
                <w:b/>
                <w:color w:val="FFFFFF"/>
                <w:sz w:val="22"/>
              </w:rPr>
              <w:t>Legacy GRC Suites</w:t>
            </w:r>
          </w:p>
        </w:tc>
        <w:tc>
          <w:tcPr>
            <w:tcW w:type="dxa" w:w="2268"/>
            <w:shd w:val="clear" w:color="auto" w:fill="0B3D91"/>
            <w:vAlign w:val="center"/>
          </w:tcPr>
          <w:p>
            <w:r/>
            <w:r>
              <w:rPr>
                <w:b/>
                <w:color w:val="FFFFFF"/>
                <w:sz w:val="22"/>
              </w:rPr>
              <w:t>Glimmora IA Platform</w:t>
            </w:r>
          </w:p>
        </w:tc>
      </w:tr>
      <w:tr>
        <w:tc>
          <w:tcPr>
            <w:tcW w:type="dxa" w:w="3118"/>
          </w:tcPr>
          <w:p>
            <w:r/>
            <w:r>
              <w:rPr>
                <w:sz w:val="21"/>
              </w:rPr>
              <w:t>Purpose-built IA model</w:t>
            </w:r>
          </w:p>
        </w:tc>
        <w:tc>
          <w:tcPr>
            <w:tcW w:type="dxa" w:w="1701"/>
          </w:tcPr>
          <w:p>
            <w:r/>
            <w:r>
              <w:rPr>
                <w:sz w:val="21"/>
              </w:rPr>
              <w:t>No</w:t>
            </w:r>
          </w:p>
        </w:tc>
        <w:tc>
          <w:tcPr>
            <w:tcW w:type="dxa" w:w="1701"/>
          </w:tcPr>
          <w:p>
            <w:r/>
            <w:r>
              <w:rPr>
                <w:sz w:val="21"/>
              </w:rPr>
              <w:t>Yes</w:t>
            </w:r>
          </w:p>
        </w:tc>
        <w:tc>
          <w:tcPr>
            <w:tcW w:type="dxa" w:w="2268"/>
          </w:tcPr>
          <w:p>
            <w:r/>
            <w:r>
              <w:rPr>
                <w:sz w:val="21"/>
              </w:rPr>
              <w:t>Yes</w:t>
            </w:r>
          </w:p>
        </w:tc>
      </w:tr>
      <w:tr>
        <w:tc>
          <w:tcPr>
            <w:tcW w:type="dxa" w:w="3118"/>
            <w:shd w:val="clear" w:color="auto" w:fill="F2F5FB"/>
          </w:tcPr>
          <w:p>
            <w:r/>
            <w:r>
              <w:rPr>
                <w:sz w:val="21"/>
              </w:rPr>
              <w:t>Modern web stack</w:t>
            </w:r>
          </w:p>
        </w:tc>
        <w:tc>
          <w:tcPr>
            <w:tcW w:type="dxa" w:w="1701"/>
            <w:shd w:val="clear" w:color="auto" w:fill="F2F5FB"/>
          </w:tcPr>
          <w:p>
            <w:r/>
            <w:r>
              <w:rPr>
                <w:sz w:val="21"/>
              </w:rPr>
              <w:t>Often</w:t>
            </w:r>
          </w:p>
        </w:tc>
        <w:tc>
          <w:tcPr>
            <w:tcW w:type="dxa" w:w="1701"/>
            <w:shd w:val="clear" w:color="auto" w:fill="F2F5FB"/>
          </w:tcPr>
          <w:p>
            <w:r/>
            <w:r>
              <w:rPr>
                <w:sz w:val="21"/>
              </w:rPr>
              <w:t>Rarely</w:t>
            </w:r>
          </w:p>
        </w:tc>
        <w:tc>
          <w:tcPr>
            <w:tcW w:type="dxa" w:w="2268"/>
            <w:shd w:val="clear" w:color="auto" w:fill="F2F5FB"/>
          </w:tcPr>
          <w:p>
            <w:r/>
            <w:r>
              <w:rPr>
                <w:sz w:val="21"/>
              </w:rPr>
              <w:t>Yes (Next.js 16)</w:t>
            </w:r>
          </w:p>
        </w:tc>
      </w:tr>
      <w:tr>
        <w:tc>
          <w:tcPr>
            <w:tcW w:type="dxa" w:w="3118"/>
          </w:tcPr>
          <w:p>
            <w:r/>
            <w:r>
              <w:rPr>
                <w:sz w:val="21"/>
              </w:rPr>
              <w:t>Embedded AI</w:t>
            </w:r>
          </w:p>
        </w:tc>
        <w:tc>
          <w:tcPr>
            <w:tcW w:type="dxa" w:w="1701"/>
          </w:tcPr>
          <w:p>
            <w:r/>
            <w:r>
              <w:rPr>
                <w:sz w:val="21"/>
              </w:rPr>
              <w:t>Bolt-on</w:t>
            </w:r>
          </w:p>
        </w:tc>
        <w:tc>
          <w:tcPr>
            <w:tcW w:type="dxa" w:w="1701"/>
          </w:tcPr>
          <w:p>
            <w:r/>
            <w:r>
              <w:rPr>
                <w:sz w:val="21"/>
              </w:rPr>
              <w:t>Bolt-on</w:t>
            </w:r>
          </w:p>
        </w:tc>
        <w:tc>
          <w:tcPr>
            <w:tcW w:type="dxa" w:w="2268"/>
          </w:tcPr>
          <w:p>
            <w:r/>
            <w:r>
              <w:rPr>
                <w:sz w:val="21"/>
              </w:rPr>
              <w:t>Native</w:t>
            </w:r>
          </w:p>
        </w:tc>
      </w:tr>
      <w:tr>
        <w:tc>
          <w:tcPr>
            <w:tcW w:type="dxa" w:w="3118"/>
            <w:shd w:val="clear" w:color="auto" w:fill="F2F5FB"/>
          </w:tcPr>
          <w:p>
            <w:r/>
            <w:r>
              <w:rPr>
                <w:sz w:val="21"/>
              </w:rPr>
              <w:t>Multilingual (incl. RTL)</w:t>
            </w:r>
          </w:p>
        </w:tc>
        <w:tc>
          <w:tcPr>
            <w:tcW w:type="dxa" w:w="1701"/>
            <w:shd w:val="clear" w:color="auto" w:fill="F2F5FB"/>
          </w:tcPr>
          <w:p>
            <w:r/>
            <w:r>
              <w:rPr>
                <w:sz w:val="21"/>
              </w:rPr>
              <w:t>Partial</w:t>
            </w:r>
          </w:p>
        </w:tc>
        <w:tc>
          <w:tcPr>
            <w:tcW w:type="dxa" w:w="1701"/>
            <w:shd w:val="clear" w:color="auto" w:fill="F2F5FB"/>
          </w:tcPr>
          <w:p>
            <w:r/>
            <w:r>
              <w:rPr>
                <w:sz w:val="21"/>
              </w:rPr>
              <w:t>Partial</w:t>
            </w:r>
          </w:p>
        </w:tc>
        <w:tc>
          <w:tcPr>
            <w:tcW w:type="dxa" w:w="2268"/>
            <w:shd w:val="clear" w:color="auto" w:fill="F2F5FB"/>
          </w:tcPr>
          <w:p>
            <w:r/>
            <w:r>
              <w:rPr>
                <w:sz w:val="21"/>
              </w:rPr>
              <w:t>Native, 3 languages</w:t>
            </w:r>
          </w:p>
        </w:tc>
      </w:tr>
      <w:tr>
        <w:tc>
          <w:tcPr>
            <w:tcW w:type="dxa" w:w="3118"/>
          </w:tcPr>
          <w:p>
            <w:r/>
            <w:r>
              <w:rPr>
                <w:sz w:val="21"/>
              </w:rPr>
              <w:t>Multi-tenant + single-tenant</w:t>
            </w:r>
          </w:p>
        </w:tc>
        <w:tc>
          <w:tcPr>
            <w:tcW w:type="dxa" w:w="1701"/>
          </w:tcPr>
          <w:p>
            <w:r/>
            <w:r>
              <w:rPr>
                <w:sz w:val="21"/>
              </w:rPr>
              <w:t>Single only</w:t>
            </w:r>
          </w:p>
        </w:tc>
        <w:tc>
          <w:tcPr>
            <w:tcW w:type="dxa" w:w="1701"/>
          </w:tcPr>
          <w:p>
            <w:r/>
            <w:r>
              <w:rPr>
                <w:sz w:val="21"/>
              </w:rPr>
              <w:t>Single only</w:t>
            </w:r>
          </w:p>
        </w:tc>
        <w:tc>
          <w:tcPr>
            <w:tcW w:type="dxa" w:w="2268"/>
          </w:tcPr>
          <w:p>
            <w:r/>
            <w:r>
              <w:rPr>
                <w:sz w:val="21"/>
              </w:rPr>
              <w:t>Both</w:t>
            </w:r>
          </w:p>
        </w:tc>
      </w:tr>
      <w:tr>
        <w:tc>
          <w:tcPr>
            <w:tcW w:type="dxa" w:w="3118"/>
            <w:shd w:val="clear" w:color="auto" w:fill="F2F5FB"/>
          </w:tcPr>
          <w:p>
            <w:r/>
            <w:r>
              <w:rPr>
                <w:sz w:val="21"/>
              </w:rPr>
              <w:t>Encryption + RBAC out of the box</w:t>
            </w:r>
          </w:p>
        </w:tc>
        <w:tc>
          <w:tcPr>
            <w:tcW w:type="dxa" w:w="1701"/>
            <w:shd w:val="clear" w:color="auto" w:fill="F2F5FB"/>
          </w:tcPr>
          <w:p>
            <w:r/>
            <w:r>
              <w:rPr>
                <w:sz w:val="21"/>
              </w:rPr>
              <w:t>Partial</w:t>
            </w:r>
          </w:p>
        </w:tc>
        <w:tc>
          <w:tcPr>
            <w:tcW w:type="dxa" w:w="1701"/>
            <w:shd w:val="clear" w:color="auto" w:fill="F2F5FB"/>
          </w:tcPr>
          <w:p>
            <w:r/>
            <w:r>
              <w:rPr>
                <w:sz w:val="21"/>
              </w:rPr>
              <w:t>Yes</w:t>
            </w:r>
          </w:p>
        </w:tc>
        <w:tc>
          <w:tcPr>
            <w:tcW w:type="dxa" w:w="2268"/>
            <w:shd w:val="clear" w:color="auto" w:fill="F2F5FB"/>
          </w:tcPr>
          <w:p>
            <w:r/>
            <w:r>
              <w:rPr>
                <w:sz w:val="21"/>
              </w:rPr>
              <w:t>Yes</w:t>
            </w:r>
          </w:p>
        </w:tc>
      </w:tr>
      <w:tr>
        <w:tc>
          <w:tcPr>
            <w:tcW w:type="dxa" w:w="3118"/>
          </w:tcPr>
          <w:p>
            <w:r/>
            <w:r>
              <w:rPr>
                <w:sz w:val="21"/>
              </w:rPr>
              <w:t>Single-branch UAT/Prod gating</w:t>
            </w:r>
          </w:p>
        </w:tc>
        <w:tc>
          <w:tcPr>
            <w:tcW w:type="dxa" w:w="1701"/>
          </w:tcPr>
          <w:p>
            <w:r/>
            <w:r>
              <w:rPr>
                <w:sz w:val="21"/>
              </w:rPr>
              <w:t>Manual</w:t>
            </w:r>
          </w:p>
        </w:tc>
        <w:tc>
          <w:tcPr>
            <w:tcW w:type="dxa" w:w="1701"/>
          </w:tcPr>
          <w:p>
            <w:r/>
            <w:r>
              <w:rPr>
                <w:sz w:val="21"/>
              </w:rPr>
              <w:t>Manual</w:t>
            </w:r>
          </w:p>
        </w:tc>
        <w:tc>
          <w:tcPr>
            <w:tcW w:type="dxa" w:w="2268"/>
          </w:tcPr>
          <w:p>
            <w:r/>
            <w:r>
              <w:rPr>
                <w:sz w:val="21"/>
              </w:rPr>
              <w:t>Yes</w:t>
            </w:r>
          </w:p>
        </w:tc>
      </w:tr>
    </w:tbl>
    <w:p>
      <w:pPr>
        <w:pStyle w:val="Heading1"/>
      </w:pPr>
      <w:r>
        <w:t>5. Closing Statement</w:t>
      </w:r>
    </w:p>
    <w:p>
      <w:r>
        <w:rPr>
          <w:b w:val="0"/>
          <w:i w:val="0"/>
        </w:rPr>
        <w:t>The Glimmora Internal Audit Platform is not the cheapest tool, nor is it the most established brand. It is, however, the platform that maps most completely to how a modern internal audit function actually operates — risk-driven, AI-augmented, multilingual, and secure by default. For organisations that take assurance seriously, that combination is rare and valuable.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88E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