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E88E5"/>
          <w:sz w:val="28"/>
        </w:rPr>
        <w:t>TECHNICAL EVIDENCE PLATFORM</w:t>
      </w:r>
    </w:p>
    <w:p>
      <w:pPr>
        <w:jc w:val="center"/>
      </w:pPr>
      <w:r>
        <w:rPr>
          <w:b/>
          <w:color w:val="0B3D91"/>
          <w:sz w:val="72"/>
        </w:rPr>
        <w:t>Functional Documentation</w:t>
      </w:r>
    </w:p>
    <w:p>
      <w:pPr>
        <w:jc w:val="center"/>
        <w:pBdr>
          <w:bottom w:val="single" w:sz="8" w:space="1" w:color="1E88E5"/>
        </w:pBdr>
      </w:pPr>
    </w:p>
    <w:p>
      <w:pPr>
        <w:jc w:val="center"/>
      </w:pPr>
      <w:r>
        <w:rPr>
          <w:i/>
          <w:color w:val="555F77"/>
          <w:sz w:val="28"/>
        </w:rPr>
        <w:t>End-to-end capability description: data model, workflows, integrations, security, and operations.</w:t>
      </w:r>
    </w:p>
    <w:p>
      <w:pPr>
        <w:jc w:val="center"/>
      </w:pPr>
      <w:r>
        <w:rPr>
          <w:color w:val="555F77"/>
          <w:sz w:val="22"/>
        </w:rPr>
        <w:br/>
        <w:br/>
        <w:t>Glimmora International</w:t>
        <w:br/>
        <w:t>info@glimmora.ai</w:t>
      </w:r>
    </w:p>
    <w:p>
      <w:r>
        <w:br w:type="page"/>
      </w:r>
    </w:p>
    <w:p>
      <w:pPr>
        <w:pStyle w:val="Heading1"/>
      </w:pPr>
      <w:r>
        <w:t>1. Platform Overview</w:t>
      </w:r>
    </w:p>
    <w:p>
      <w:r>
        <w:rPr>
          <w:b w:val="0"/>
          <w:i w:val="0"/>
        </w:rPr>
        <w:t>Technical Evidence is the fourth platform in the Glimmora suite, alongside GRC, TPRM, and Internal Audit. It provides a credential vault for nine third-party security and IT-operations platforms, an on-demand data-collection engine, and an evidence-publication pipeline that auto-creates compliance Evidence records inside GRC. Each customer's subscription, data, and credentials are tenant-isolated.</w:t>
      </w:r>
    </w:p>
    <w:tbl>
      <w:tblPr>
        <w:tblW w:type="auto" w:w="0"/>
        <w:tblLook w:firstColumn="1" w:firstRow="1" w:lastColumn="0" w:lastRow="0" w:noHBand="0" w:noVBand="1" w:val="04A0"/>
      </w:tblPr>
      <w:tblGrid>
        <w:gridCol w:w="8640"/>
      </w:tblGrid>
      <w:tr>
        <w:tc>
          <w:tcPr>
            <w:tcW w:type="dxa" w:w="8640"/>
            <w:shd w:val="clear" w:color="auto" w:fill="F2F5FB"/>
          </w:tcPr>
          <w:p>
            <w:r/>
            <w:r>
              <w:rPr>
                <w:b/>
                <w:color w:val="0B3D91"/>
                <w:sz w:val="22"/>
              </w:rPr>
              <w:t>Module gating</w:t>
              <w:br/>
            </w:r>
            <w:r>
              <w:rPr>
                <w:color w:val="1F2A44"/>
                <w:sz w:val="21"/>
              </w:rPr>
              <w:t>Access is controlled by the CustomerAccount.isTechnicalEvidenceEnabled flag plus a Subscription / ModuleSubscription row with moduleCode='TECHNICAL_EVIDENCE'. The layout gate blocks deep-links to /technical-evidence/* if either is missing and redirects to /subscription-required.</w:t>
            </w:r>
          </w:p>
        </w:tc>
      </w:tr>
    </w:tbl>
    <w:p>
      <w:pPr>
        <w:pStyle w:val="Heading1"/>
      </w:pPr>
      <w:r>
        <w:t>2. Capability Map</w:t>
      </w:r>
    </w:p>
    <w:tbl>
      <w:tblPr>
        <w:tblStyle w:val="LightGrid-Accent1"/>
        <w:tblW w:type="auto" w:w="0"/>
        <w:tblLook w:firstColumn="1" w:firstRow="1" w:lastColumn="0" w:lastRow="0" w:noHBand="0" w:noVBand="1" w:val="04A0"/>
      </w:tblPr>
      <w:tblGrid>
        <w:gridCol w:w="2880"/>
        <w:gridCol w:w="2880"/>
        <w:gridCol w:w="2880"/>
      </w:tblGrid>
      <w:tr>
        <w:tc>
          <w:tcPr>
            <w:tcW w:type="dxa" w:w="2551"/>
            <w:shd w:val="clear" w:color="auto" w:fill="0B3D91"/>
            <w:vAlign w:val="center"/>
          </w:tcPr>
          <w:p>
            <w:r/>
            <w:r>
              <w:rPr>
                <w:b/>
                <w:color w:val="FFFFFF"/>
                <w:sz w:val="22"/>
              </w:rPr>
              <w:t>Capability</w:t>
            </w:r>
          </w:p>
        </w:tc>
        <w:tc>
          <w:tcPr>
            <w:tcW w:type="dxa" w:w="2835"/>
            <w:shd w:val="clear" w:color="auto" w:fill="0B3D91"/>
            <w:vAlign w:val="center"/>
          </w:tcPr>
          <w:p>
            <w:r/>
            <w:r>
              <w:rPr>
                <w:b/>
                <w:color w:val="FFFFFF"/>
                <w:sz w:val="22"/>
              </w:rPr>
              <w:t>Where</w:t>
            </w:r>
          </w:p>
        </w:tc>
        <w:tc>
          <w:tcPr>
            <w:tcW w:type="dxa" w:w="3685"/>
            <w:shd w:val="clear" w:color="auto" w:fill="0B3D91"/>
            <w:vAlign w:val="center"/>
          </w:tcPr>
          <w:p>
            <w:r/>
            <w:r>
              <w:rPr>
                <w:b/>
                <w:color w:val="FFFFFF"/>
                <w:sz w:val="22"/>
              </w:rPr>
              <w:t>What it does</w:t>
            </w:r>
          </w:p>
        </w:tc>
      </w:tr>
      <w:tr>
        <w:tc>
          <w:tcPr>
            <w:tcW w:type="dxa" w:w="2551"/>
          </w:tcPr>
          <w:p>
            <w:r/>
            <w:r>
              <w:rPr>
                <w:sz w:val="21"/>
              </w:rPr>
              <w:t>Credential Vault</w:t>
            </w:r>
          </w:p>
        </w:tc>
        <w:tc>
          <w:tcPr>
            <w:tcW w:type="dxa" w:w="2835"/>
          </w:tcPr>
          <w:p>
            <w:r/>
            <w:r>
              <w:rPr>
                <w:sz w:val="21"/>
              </w:rPr>
              <w:t>/technical-evidence/settings</w:t>
            </w:r>
          </w:p>
        </w:tc>
        <w:tc>
          <w:tcPr>
            <w:tcW w:type="dxa" w:w="3685"/>
          </w:tcPr>
          <w:p>
            <w:r/>
            <w:r>
              <w:rPr>
                <w:sz w:val="21"/>
              </w:rPr>
              <w:t>Add/edit/delete encrypted credentials for the 9 supported platforms.</w:t>
            </w:r>
          </w:p>
        </w:tc>
      </w:tr>
      <w:tr>
        <w:tc>
          <w:tcPr>
            <w:tcW w:type="dxa" w:w="2551"/>
            <w:shd w:val="clear" w:color="auto" w:fill="F2F5FB"/>
          </w:tcPr>
          <w:p>
            <w:r/>
            <w:r>
              <w:rPr>
                <w:sz w:val="21"/>
              </w:rPr>
              <w:t>Per-platform configuration</w:t>
            </w:r>
          </w:p>
        </w:tc>
        <w:tc>
          <w:tcPr>
            <w:tcW w:type="dxa" w:w="2835"/>
            <w:shd w:val="clear" w:color="auto" w:fill="F2F5FB"/>
          </w:tcPr>
          <w:p>
            <w:r/>
            <w:r>
              <w:rPr>
                <w:sz w:val="21"/>
              </w:rPr>
              <w:t>/technical-evidence/settings/[platform]</w:t>
            </w:r>
          </w:p>
        </w:tc>
        <w:tc>
          <w:tcPr>
            <w:tcW w:type="dxa" w:w="3685"/>
            <w:shd w:val="clear" w:color="auto" w:fill="F2F5FB"/>
          </w:tcPr>
          <w:p>
            <w:r/>
            <w:r>
              <w:rPr>
                <w:sz w:val="21"/>
              </w:rPr>
              <w:t>Dynamic form populated from PLATFORM_INFO with the platform's required fields and authType.</w:t>
            </w:r>
          </w:p>
        </w:tc>
      </w:tr>
      <w:tr>
        <w:tc>
          <w:tcPr>
            <w:tcW w:type="dxa" w:w="2551"/>
          </w:tcPr>
          <w:p>
            <w:r/>
            <w:r>
              <w:rPr>
                <w:sz w:val="21"/>
              </w:rPr>
              <w:t>Connection test</w:t>
            </w:r>
          </w:p>
        </w:tc>
        <w:tc>
          <w:tcPr>
            <w:tcW w:type="dxa" w:w="2835"/>
          </w:tcPr>
          <w:p>
            <w:r/>
            <w:r>
              <w:rPr>
                <w:sz w:val="21"/>
              </w:rPr>
              <w:t>/api/integration-credentials/[id]/test</w:t>
            </w:r>
          </w:p>
        </w:tc>
        <w:tc>
          <w:tcPr>
            <w:tcW w:type="dxa" w:w="3685"/>
          </w:tcPr>
          <w:p>
            <w:r/>
            <w:r>
              <w:rPr>
                <w:sz w:val="21"/>
              </w:rPr>
              <w:t>On-demand reachability check; updates lastTestedAt / lastTestStatus on the credential row.</w:t>
            </w:r>
          </w:p>
        </w:tc>
      </w:tr>
      <w:tr>
        <w:tc>
          <w:tcPr>
            <w:tcW w:type="dxa" w:w="2551"/>
            <w:shd w:val="clear" w:color="auto" w:fill="F2F5FB"/>
          </w:tcPr>
          <w:p>
            <w:r/>
            <w:r>
              <w:rPr>
                <w:sz w:val="21"/>
              </w:rPr>
              <w:t>Data-source bootstrap</w:t>
            </w:r>
          </w:p>
        </w:tc>
        <w:tc>
          <w:tcPr>
            <w:tcW w:type="dxa" w:w="2835"/>
            <w:shd w:val="clear" w:color="auto" w:fill="F2F5FB"/>
          </w:tcPr>
          <w:p>
            <w:r/>
            <w:r>
              <w:rPr>
                <w:sz w:val="21"/>
              </w:rPr>
              <w:t>/api/technical-evidence/bootstrap</w:t>
            </w:r>
          </w:p>
        </w:tc>
        <w:tc>
          <w:tcPr>
            <w:tcW w:type="dxa" w:w="3685"/>
            <w:shd w:val="clear" w:color="auto" w:fill="F2F5FB"/>
          </w:tcPr>
          <w:p>
            <w:r/>
            <w:r>
              <w:rPr>
                <w:sz w:val="21"/>
              </w:rPr>
              <w:t>After a credential is saved, creates one TechnicalEvidenceCollection per data source exposed by the connector.</w:t>
            </w:r>
          </w:p>
        </w:tc>
      </w:tr>
      <w:tr>
        <w:tc>
          <w:tcPr>
            <w:tcW w:type="dxa" w:w="2551"/>
          </w:tcPr>
          <w:p>
            <w:r/>
            <w:r>
              <w:rPr>
                <w:sz w:val="21"/>
              </w:rPr>
              <w:t>Dashboard</w:t>
            </w:r>
          </w:p>
        </w:tc>
        <w:tc>
          <w:tcPr>
            <w:tcW w:type="dxa" w:w="2835"/>
          </w:tcPr>
          <w:p>
            <w:r/>
            <w:r>
              <w:rPr>
                <w:sz w:val="21"/>
              </w:rPr>
              <w:t>/technical-evidence/dashboard</w:t>
            </w:r>
          </w:p>
        </w:tc>
        <w:tc>
          <w:tcPr>
            <w:tcW w:type="dxa" w:w="3685"/>
          </w:tcPr>
          <w:p>
            <w:r/>
            <w:r>
              <w:rPr>
                <w:sz w:val="21"/>
              </w:rPr>
              <w:t>Cards per collection with status, record count, last-collected timestamp, and Collect/View buttons.</w:t>
            </w:r>
          </w:p>
        </w:tc>
      </w:tr>
      <w:tr>
        <w:tc>
          <w:tcPr>
            <w:tcW w:type="dxa" w:w="2551"/>
            <w:shd w:val="clear" w:color="auto" w:fill="F2F5FB"/>
          </w:tcPr>
          <w:p>
            <w:r/>
            <w:r>
              <w:rPr>
                <w:sz w:val="21"/>
              </w:rPr>
              <w:t>Data collection</w:t>
            </w:r>
          </w:p>
        </w:tc>
        <w:tc>
          <w:tcPr>
            <w:tcW w:type="dxa" w:w="2835"/>
            <w:shd w:val="clear" w:color="auto" w:fill="F2F5FB"/>
          </w:tcPr>
          <w:p>
            <w:r/>
            <w:r>
              <w:rPr>
                <w:sz w:val="21"/>
              </w:rPr>
              <w:t>/api/technical-evidence/[id]/collect</w:t>
            </w:r>
          </w:p>
        </w:tc>
        <w:tc>
          <w:tcPr>
            <w:tcW w:type="dxa" w:w="3685"/>
            <w:shd w:val="clear" w:color="auto" w:fill="F2F5FB"/>
          </w:tcPr>
          <w:p>
            <w:r/>
            <w:r>
              <w:rPr>
                <w:sz w:val="21"/>
              </w:rPr>
              <w:t>Decrypts credential, calls connector.collectData(), inserts records (batched, hashed), auto-publishes Evidence.</w:t>
            </w:r>
          </w:p>
        </w:tc>
      </w:tr>
      <w:tr>
        <w:tc>
          <w:tcPr>
            <w:tcW w:type="dxa" w:w="2551"/>
          </w:tcPr>
          <w:p>
            <w:r/>
            <w:r>
              <w:rPr>
                <w:sz w:val="21"/>
              </w:rPr>
              <w:t>Control mapping</w:t>
            </w:r>
          </w:p>
        </w:tc>
        <w:tc>
          <w:tcPr>
            <w:tcW w:type="dxa" w:w="2835"/>
          </w:tcPr>
          <w:p>
            <w:r/>
            <w:r>
              <w:rPr>
                <w:sz w:val="21"/>
              </w:rPr>
              <w:t>/api/technical-evidence/[id]/control-mappings</w:t>
            </w:r>
          </w:p>
        </w:tc>
        <w:tc>
          <w:tcPr>
            <w:tcW w:type="dxa" w:w="3685"/>
          </w:tcPr>
          <w:p>
            <w:r/>
            <w:r>
              <w:rPr>
                <w:sz w:val="21"/>
              </w:rPr>
              <w:t>AI-suggested and user-confirmed mapping between a collection and one or more controls/frameworks.</w:t>
            </w:r>
          </w:p>
        </w:tc>
      </w:tr>
      <w:tr>
        <w:tc>
          <w:tcPr>
            <w:tcW w:type="dxa" w:w="2551"/>
            <w:shd w:val="clear" w:color="auto" w:fill="F2F5FB"/>
          </w:tcPr>
          <w:p>
            <w:r/>
            <w:r>
              <w:rPr>
                <w:sz w:val="21"/>
              </w:rPr>
              <w:t>Evidence publication</w:t>
            </w:r>
          </w:p>
        </w:tc>
        <w:tc>
          <w:tcPr>
            <w:tcW w:type="dxa" w:w="2835"/>
            <w:shd w:val="clear" w:color="auto" w:fill="F2F5FB"/>
          </w:tcPr>
          <w:p>
            <w:r/>
            <w:r>
              <w:rPr>
                <w:sz w:val="21"/>
              </w:rPr>
              <w:t>/api/technical-evidence/[id]/publish</w:t>
            </w:r>
          </w:p>
        </w:tc>
        <w:tc>
          <w:tcPr>
            <w:tcW w:type="dxa" w:w="3685"/>
            <w:shd w:val="clear" w:color="auto" w:fill="F2F5FB"/>
          </w:tcPr>
          <w:p>
            <w:r/>
            <w:r>
              <w:rPr>
                <w:sz w:val="21"/>
              </w:rPr>
              <w:t>Creates / updates an Evidence row with the collection's CSV attached and control links populated.</w:t>
            </w:r>
          </w:p>
        </w:tc>
      </w:tr>
      <w:tr>
        <w:tc>
          <w:tcPr>
            <w:tcW w:type="dxa" w:w="2551"/>
          </w:tcPr>
          <w:p>
            <w:r/>
            <w:r>
              <w:rPr>
                <w:sz w:val="21"/>
              </w:rPr>
              <w:t>Account overview (admin)</w:t>
            </w:r>
          </w:p>
        </w:tc>
        <w:tc>
          <w:tcPr>
            <w:tcW w:type="dxa" w:w="2835"/>
          </w:tcPr>
          <w:p>
            <w:r/>
            <w:r>
              <w:rPr>
                <w:sz w:val="21"/>
              </w:rPr>
              <w:t>/technical-evidence/account-overview</w:t>
            </w:r>
          </w:p>
        </w:tc>
        <w:tc>
          <w:tcPr>
            <w:tcW w:type="dxa" w:w="3685"/>
          </w:tcPr>
          <w:p>
            <w:r/>
            <w:r>
              <w:rPr>
                <w:sz w:val="21"/>
              </w:rPr>
              <w:t>Superadmin-only customer list with TE enabled, primary admin, credential and collection counts.</w:t>
            </w:r>
          </w:p>
        </w:tc>
      </w:tr>
    </w:tbl>
    <w:p>
      <w:pPr>
        <w:pStyle w:val="Heading1"/>
      </w:pPr>
      <w:r>
        <w:t>3. Data Model</w:t>
      </w:r>
    </w:p>
    <w:p>
      <w:pPr>
        <w:pStyle w:val="Heading2"/>
      </w:pPr>
      <w:r>
        <w:t>3.1 IntegrationCredential</w:t>
      </w:r>
    </w:p>
    <w:p>
      <w:r>
        <w:rPr>
          <w:b w:val="0"/>
          <w:i w:val="0"/>
        </w:rPr>
        <w:t>Encrypted credentials for a third-party platform. One row per platform + named instance per tenant (unique constraint on customerAccountId + platform + name). Stores ciphertext only — the encryption library is src/lib/credential-encryption.ts.</w:t>
      </w:r>
    </w:p>
    <w:p>
      <w:pPr>
        <w:pStyle w:val="Heading2"/>
      </w:pPr>
      <w:r>
        <w:t>3.2 TechnicalEvidenceCollection</w:t>
      </w:r>
    </w:p>
    <w:p>
      <w:r>
        <w:rPr>
          <w:b w:val="0"/>
          <w:i w:val="0"/>
        </w:rPr>
        <w:t>A definition of one data source backed by a specific credential. For example, the Azure Entra credential might back collections for 'All Users', 'Dormant Users', 'Privileged Roles', and 'Conditional Access Policies'. Lifecycle status field tracks the last collection attempt (never / collecting / success / failed) and a record count.</w:t>
      </w:r>
    </w:p>
    <w:p>
      <w:pPr>
        <w:pStyle w:val="Heading2"/>
      </w:pPr>
      <w:r>
        <w:t>3.3 TechnicalEvidenceRecord</w:t>
      </w:r>
    </w:p>
    <w:p>
      <w:r>
        <w:rPr>
          <w:b w:val="0"/>
          <w:i w:val="0"/>
        </w:rPr>
        <w:t>Individual rows returned from a connector, stored as JSON. Each record has a SHA-256 hash so re-collection is idempotent (same data → same hash → upsert is a no-op).</w:t>
      </w:r>
    </w:p>
    <w:p>
      <w:pPr>
        <w:pStyle w:val="Heading2"/>
      </w:pPr>
      <w:r>
        <w:t>3.4 TechnicalEvidenceControlMapping</w:t>
      </w:r>
    </w:p>
    <w:p>
      <w:r>
        <w:rPr>
          <w:b w:val="0"/>
          <w:i w:val="0"/>
        </w:rPr>
        <w:t>Many-to-one link from a collection to a compliance Control, with an isAISuggested / isUserConfirmed flag and an optional confidence score. The AI suggestion engine uses keyword and semantic match against the customer's existing control library; the user confirms or rejects in one click.</w:t>
      </w:r>
    </w:p>
    <w:p>
      <w:pPr>
        <w:pStyle w:val="Heading2"/>
      </w:pPr>
      <w:r>
        <w:t>3.5 Evidence cross-reference</w:t>
      </w:r>
    </w:p>
    <w:p>
      <w:r>
        <w:rPr>
          <w:b w:val="0"/>
          <w:i w:val="0"/>
        </w:rPr>
        <w:t>The GRC Evidence model has a nullable technicalEvidenceCollectionId field. When set, the Evidence row was auto-created by the publish pipeline and carries a back-reference to the collection that produced it. Re-collection updates the same Evidence row in place rather than creating duplicates.</w:t>
      </w:r>
    </w:p>
    <w:p>
      <w:pPr>
        <w:pStyle w:val="Heading1"/>
      </w:pPr>
      <w:r>
        <w:t>4. End-to-End Workflow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680"/>
            <w:shd w:val="clear" w:color="auto" w:fill="0B3D91"/>
            <w:vAlign w:val="center"/>
          </w:tcPr>
          <w:p>
            <w:r/>
            <w:r>
              <w:rPr>
                <w:b/>
                <w:color w:val="FFFFFF"/>
                <w:sz w:val="22"/>
              </w:rPr>
              <w:t>Step</w:t>
            </w:r>
          </w:p>
        </w:tc>
        <w:tc>
          <w:tcPr>
            <w:tcW w:type="dxa" w:w="1701"/>
            <w:shd w:val="clear" w:color="auto" w:fill="0B3D91"/>
            <w:vAlign w:val="center"/>
          </w:tcPr>
          <w:p>
            <w:r/>
            <w:r>
              <w:rPr>
                <w:b/>
                <w:color w:val="FFFFFF"/>
                <w:sz w:val="22"/>
              </w:rPr>
              <w:t>Actor</w:t>
            </w:r>
          </w:p>
        </w:tc>
        <w:tc>
          <w:tcPr>
            <w:tcW w:type="dxa" w:w="3118"/>
            <w:shd w:val="clear" w:color="auto" w:fill="0B3D91"/>
            <w:vAlign w:val="center"/>
          </w:tcPr>
          <w:p>
            <w:r/>
            <w:r>
              <w:rPr>
                <w:b/>
                <w:color w:val="FFFFFF"/>
                <w:sz w:val="22"/>
              </w:rPr>
              <w:t>Action</w:t>
            </w:r>
          </w:p>
        </w:tc>
        <w:tc>
          <w:tcPr>
            <w:tcW w:type="dxa" w:w="3572"/>
            <w:shd w:val="clear" w:color="auto" w:fill="0B3D91"/>
            <w:vAlign w:val="center"/>
          </w:tcPr>
          <w:p>
            <w:r/>
            <w:r>
              <w:rPr>
                <w:b/>
                <w:color w:val="FFFFFF"/>
                <w:sz w:val="22"/>
              </w:rPr>
              <w:t>System effect</w:t>
            </w:r>
          </w:p>
        </w:tc>
      </w:tr>
      <w:tr>
        <w:tc>
          <w:tcPr>
            <w:tcW w:type="dxa" w:w="680"/>
          </w:tcPr>
          <w:p>
            <w:r/>
            <w:r>
              <w:rPr>
                <w:sz w:val="21"/>
              </w:rPr>
              <w:t>1</w:t>
            </w:r>
          </w:p>
        </w:tc>
        <w:tc>
          <w:tcPr>
            <w:tcW w:type="dxa" w:w="1701"/>
          </w:tcPr>
          <w:p>
            <w:r/>
            <w:r>
              <w:rPr>
                <w:sz w:val="21"/>
              </w:rPr>
              <w:t>CustomerAdmin</w:t>
            </w:r>
          </w:p>
        </w:tc>
        <w:tc>
          <w:tcPr>
            <w:tcW w:type="dxa" w:w="3118"/>
          </w:tcPr>
          <w:p>
            <w:r/>
            <w:r>
              <w:rPr>
                <w:sz w:val="21"/>
              </w:rPr>
              <w:t>Opens /technical-evidence/settings</w:t>
            </w:r>
          </w:p>
        </w:tc>
        <w:tc>
          <w:tcPr>
            <w:tcW w:type="dxa" w:w="3572"/>
          </w:tcPr>
          <w:p>
            <w:r/>
            <w:r>
              <w:rPr>
                <w:sz w:val="21"/>
              </w:rPr>
              <w:t>Renders 9 platform cards from PLATFORM_INFO.</w:t>
            </w:r>
          </w:p>
        </w:tc>
      </w:tr>
      <w:tr>
        <w:tc>
          <w:tcPr>
            <w:tcW w:type="dxa" w:w="680"/>
            <w:shd w:val="clear" w:color="auto" w:fill="F2F5FB"/>
          </w:tcPr>
          <w:p>
            <w:r/>
            <w:r>
              <w:rPr>
                <w:sz w:val="21"/>
              </w:rPr>
              <w:t>2</w:t>
            </w:r>
          </w:p>
        </w:tc>
        <w:tc>
          <w:tcPr>
            <w:tcW w:type="dxa" w:w="1701"/>
            <w:shd w:val="clear" w:color="auto" w:fill="F2F5FB"/>
          </w:tcPr>
          <w:p>
            <w:r/>
            <w:r>
              <w:rPr>
                <w:sz w:val="21"/>
              </w:rPr>
              <w:t>CustomerAdmin</w:t>
            </w:r>
          </w:p>
        </w:tc>
        <w:tc>
          <w:tcPr>
            <w:tcW w:type="dxa" w:w="3118"/>
            <w:shd w:val="clear" w:color="auto" w:fill="F2F5FB"/>
          </w:tcPr>
          <w:p>
            <w:r/>
            <w:r>
              <w:rPr>
                <w:sz w:val="21"/>
              </w:rPr>
              <w:t>Clicks a card → fills credential form</w:t>
            </w:r>
          </w:p>
        </w:tc>
        <w:tc>
          <w:tcPr>
            <w:tcW w:type="dxa" w:w="3572"/>
            <w:shd w:val="clear" w:color="auto" w:fill="F2F5FB"/>
          </w:tcPr>
          <w:p>
            <w:r/>
            <w:r>
              <w:rPr>
                <w:sz w:val="21"/>
              </w:rPr>
              <w:t>POST /api/integration-credentials. Encrypts with AES-256-GCM. Inserts IntegrationCredential row.</w:t>
            </w:r>
          </w:p>
        </w:tc>
      </w:tr>
      <w:tr>
        <w:tc>
          <w:tcPr>
            <w:tcW w:type="dxa" w:w="680"/>
          </w:tcPr>
          <w:p>
            <w:r/>
            <w:r>
              <w:rPr>
                <w:sz w:val="21"/>
              </w:rPr>
              <w:t>3</w:t>
            </w:r>
          </w:p>
        </w:tc>
        <w:tc>
          <w:tcPr>
            <w:tcW w:type="dxa" w:w="1701"/>
          </w:tcPr>
          <w:p>
            <w:r/>
            <w:r>
              <w:rPr>
                <w:sz w:val="21"/>
              </w:rPr>
              <w:t>System</w:t>
            </w:r>
          </w:p>
        </w:tc>
        <w:tc>
          <w:tcPr>
            <w:tcW w:type="dxa" w:w="3118"/>
          </w:tcPr>
          <w:p>
            <w:r/>
            <w:r>
              <w:rPr>
                <w:sz w:val="21"/>
              </w:rPr>
              <w:t>Bootstrap fires</w:t>
            </w:r>
          </w:p>
        </w:tc>
        <w:tc>
          <w:tcPr>
            <w:tcW w:type="dxa" w:w="3572"/>
          </w:tcPr>
          <w:p>
            <w:r/>
            <w:r>
              <w:rPr>
                <w:sz w:val="21"/>
              </w:rPr>
              <w:t>POST /api/technical-evidence/bootstrap. For each data source exposed by the connector, upserts a TechnicalEvidenceCollection.</w:t>
            </w:r>
          </w:p>
        </w:tc>
      </w:tr>
      <w:tr>
        <w:tc>
          <w:tcPr>
            <w:tcW w:type="dxa" w:w="680"/>
            <w:shd w:val="clear" w:color="auto" w:fill="F2F5FB"/>
          </w:tcPr>
          <w:p>
            <w:r/>
            <w:r>
              <w:rPr>
                <w:sz w:val="21"/>
              </w:rPr>
              <w:t>4</w:t>
            </w:r>
          </w:p>
        </w:tc>
        <w:tc>
          <w:tcPr>
            <w:tcW w:type="dxa" w:w="1701"/>
            <w:shd w:val="clear" w:color="auto" w:fill="F2F5FB"/>
          </w:tcPr>
          <w:p>
            <w:r/>
            <w:r>
              <w:rPr>
                <w:sz w:val="21"/>
              </w:rPr>
              <w:t>CustomerAdmin</w:t>
            </w:r>
          </w:p>
        </w:tc>
        <w:tc>
          <w:tcPr>
            <w:tcW w:type="dxa" w:w="3118"/>
            <w:shd w:val="clear" w:color="auto" w:fill="F2F5FB"/>
          </w:tcPr>
          <w:p>
            <w:r/>
            <w:r>
              <w:rPr>
                <w:sz w:val="21"/>
              </w:rPr>
              <w:t>Clicks 'Test connection'</w:t>
            </w:r>
          </w:p>
        </w:tc>
        <w:tc>
          <w:tcPr>
            <w:tcW w:type="dxa" w:w="3572"/>
            <w:shd w:val="clear" w:color="auto" w:fill="F2F5FB"/>
          </w:tcPr>
          <w:p>
            <w:r/>
            <w:r>
              <w:rPr>
                <w:sz w:val="21"/>
              </w:rPr>
              <w:t>POST /api/integration-credentials/[id]/test. Decrypts in memory, calls connector.testConnection(). Updates lastTestStatus.</w:t>
            </w:r>
          </w:p>
        </w:tc>
      </w:tr>
      <w:tr>
        <w:tc>
          <w:tcPr>
            <w:tcW w:type="dxa" w:w="680"/>
          </w:tcPr>
          <w:p>
            <w:r/>
            <w:r>
              <w:rPr>
                <w:sz w:val="21"/>
              </w:rPr>
              <w:t>5</w:t>
            </w:r>
          </w:p>
        </w:tc>
        <w:tc>
          <w:tcPr>
            <w:tcW w:type="dxa" w:w="1701"/>
          </w:tcPr>
          <w:p>
            <w:r/>
            <w:r>
              <w:rPr>
                <w:sz w:val="21"/>
              </w:rPr>
              <w:t>CustomerAdmin</w:t>
            </w:r>
          </w:p>
        </w:tc>
        <w:tc>
          <w:tcPr>
            <w:tcW w:type="dxa" w:w="3118"/>
          </w:tcPr>
          <w:p>
            <w:r/>
            <w:r>
              <w:rPr>
                <w:sz w:val="21"/>
              </w:rPr>
              <w:t>Opens dashboard, clicks 'Collect' on a card</w:t>
            </w:r>
          </w:p>
        </w:tc>
        <w:tc>
          <w:tcPr>
            <w:tcW w:type="dxa" w:w="3572"/>
          </w:tcPr>
          <w:p>
            <w:r/>
            <w:r>
              <w:rPr>
                <w:sz w:val="21"/>
              </w:rPr>
              <w:t>POST /api/technical-evidence/[id]/collect. Updates status='collecting'. Decrypts credential. Calls connector.collectData().</w:t>
            </w:r>
          </w:p>
        </w:tc>
      </w:tr>
      <w:tr>
        <w:tc>
          <w:tcPr>
            <w:tcW w:type="dxa" w:w="680"/>
            <w:shd w:val="clear" w:color="auto" w:fill="F2F5FB"/>
          </w:tcPr>
          <w:p>
            <w:r/>
            <w:r>
              <w:rPr>
                <w:sz w:val="21"/>
              </w:rPr>
              <w:t>6</w:t>
            </w:r>
          </w:p>
        </w:tc>
        <w:tc>
          <w:tcPr>
            <w:tcW w:type="dxa" w:w="1701"/>
            <w:shd w:val="clear" w:color="auto" w:fill="F2F5FB"/>
          </w:tcPr>
          <w:p>
            <w:r/>
            <w:r>
              <w:rPr>
                <w:sz w:val="21"/>
              </w:rPr>
              <w:t>System</w:t>
            </w:r>
          </w:p>
        </w:tc>
        <w:tc>
          <w:tcPr>
            <w:tcW w:type="dxa" w:w="3118"/>
            <w:shd w:val="clear" w:color="auto" w:fill="F2F5FB"/>
          </w:tcPr>
          <w:p>
            <w:r/>
            <w:r>
              <w:rPr>
                <w:sz w:val="21"/>
              </w:rPr>
              <w:t>Persists records</w:t>
            </w:r>
          </w:p>
        </w:tc>
        <w:tc>
          <w:tcPr>
            <w:tcW w:type="dxa" w:w="3572"/>
            <w:shd w:val="clear" w:color="auto" w:fill="F2F5FB"/>
          </w:tcPr>
          <w:p>
            <w:r/>
            <w:r>
              <w:rPr>
                <w:sz w:val="21"/>
              </w:rPr>
              <w:t>Deletes prior TechnicalEvidenceRecord rows for that collection. Bulk-inserts new records in batches of 100, each hashed.</w:t>
            </w:r>
          </w:p>
        </w:tc>
      </w:tr>
      <w:tr>
        <w:tc>
          <w:tcPr>
            <w:tcW w:type="dxa" w:w="680"/>
          </w:tcPr>
          <w:p>
            <w:r/>
            <w:r>
              <w:rPr>
                <w:sz w:val="21"/>
              </w:rPr>
              <w:t>7</w:t>
            </w:r>
          </w:p>
        </w:tc>
        <w:tc>
          <w:tcPr>
            <w:tcW w:type="dxa" w:w="1701"/>
          </w:tcPr>
          <w:p>
            <w:r/>
            <w:r>
              <w:rPr>
                <w:sz w:val="21"/>
              </w:rPr>
              <w:t>System</w:t>
            </w:r>
          </w:p>
        </w:tc>
        <w:tc>
          <w:tcPr>
            <w:tcW w:type="dxa" w:w="3118"/>
          </w:tcPr>
          <w:p>
            <w:r/>
            <w:r>
              <w:rPr>
                <w:sz w:val="21"/>
              </w:rPr>
              <w:t>Suggests control mappings</w:t>
            </w:r>
          </w:p>
        </w:tc>
        <w:tc>
          <w:tcPr>
            <w:tcW w:type="dxa" w:w="3572"/>
          </w:tcPr>
          <w:p>
            <w:r/>
            <w:r>
              <w:rPr>
                <w:sz w:val="21"/>
              </w:rPr>
              <w:t>Keyword/semantic match against customer's control library. Inserts TechnicalEvidenceControlMapping rows with suggestedByAI=true.</w:t>
            </w:r>
          </w:p>
        </w:tc>
      </w:tr>
      <w:tr>
        <w:tc>
          <w:tcPr>
            <w:tcW w:type="dxa" w:w="680"/>
            <w:shd w:val="clear" w:color="auto" w:fill="F2F5FB"/>
          </w:tcPr>
          <w:p>
            <w:r/>
            <w:r>
              <w:rPr>
                <w:sz w:val="21"/>
              </w:rPr>
              <w:t>8</w:t>
            </w:r>
          </w:p>
        </w:tc>
        <w:tc>
          <w:tcPr>
            <w:tcW w:type="dxa" w:w="1701"/>
            <w:shd w:val="clear" w:color="auto" w:fill="F2F5FB"/>
          </w:tcPr>
          <w:p>
            <w:r/>
            <w:r>
              <w:rPr>
                <w:sz w:val="21"/>
              </w:rPr>
              <w:t>System</w:t>
            </w:r>
          </w:p>
        </w:tc>
        <w:tc>
          <w:tcPr>
            <w:tcW w:type="dxa" w:w="3118"/>
            <w:shd w:val="clear" w:color="auto" w:fill="F2F5FB"/>
          </w:tcPr>
          <w:p>
            <w:r/>
            <w:r>
              <w:rPr>
                <w:sz w:val="21"/>
              </w:rPr>
              <w:t>Auto-publishes Evidence</w:t>
            </w:r>
          </w:p>
        </w:tc>
        <w:tc>
          <w:tcPr>
            <w:tcW w:type="dxa" w:w="3572"/>
            <w:shd w:val="clear" w:color="auto" w:fill="F2F5FB"/>
          </w:tcPr>
          <w:p>
            <w:r/>
            <w:r>
              <w:rPr>
                <w:sz w:val="21"/>
              </w:rPr>
              <w:t>publishTechnicalEvidence(): creates or updates Evidence with the CSV attached, links to confirmed/suggested controls.</w:t>
            </w:r>
          </w:p>
        </w:tc>
      </w:tr>
      <w:tr>
        <w:tc>
          <w:tcPr>
            <w:tcW w:type="dxa" w:w="680"/>
          </w:tcPr>
          <w:p>
            <w:r/>
            <w:r>
              <w:rPr>
                <w:sz w:val="21"/>
              </w:rPr>
              <w:t>9</w:t>
            </w:r>
          </w:p>
        </w:tc>
        <w:tc>
          <w:tcPr>
            <w:tcW w:type="dxa" w:w="1701"/>
          </w:tcPr>
          <w:p>
            <w:r/>
            <w:r>
              <w:rPr>
                <w:sz w:val="21"/>
              </w:rPr>
              <w:t>CustomerAdmin / Reviewer</w:t>
            </w:r>
          </w:p>
        </w:tc>
        <w:tc>
          <w:tcPr>
            <w:tcW w:type="dxa" w:w="3118"/>
          </w:tcPr>
          <w:p>
            <w:r/>
            <w:r>
              <w:rPr>
                <w:sz w:val="21"/>
              </w:rPr>
              <w:t>Reviews suggestions in the collection detail page</w:t>
            </w:r>
          </w:p>
        </w:tc>
        <w:tc>
          <w:tcPr>
            <w:tcW w:type="dxa" w:w="3572"/>
          </w:tcPr>
          <w:p>
            <w:r/>
            <w:r>
              <w:rPr>
                <w:sz w:val="21"/>
              </w:rPr>
              <w:t>PATCH /api/technical-evidence/[id]/control-mappings confirms each mapping (or POSTs a manual one).</w:t>
            </w:r>
          </w:p>
        </w:tc>
      </w:tr>
      <w:tr>
        <w:tc>
          <w:tcPr>
            <w:tcW w:type="dxa" w:w="680"/>
            <w:shd w:val="clear" w:color="auto" w:fill="F2F5FB"/>
          </w:tcPr>
          <w:p>
            <w:r/>
            <w:r>
              <w:rPr>
                <w:sz w:val="21"/>
              </w:rPr>
              <w:t>10</w:t>
            </w:r>
          </w:p>
        </w:tc>
        <w:tc>
          <w:tcPr>
            <w:tcW w:type="dxa" w:w="1701"/>
            <w:shd w:val="clear" w:color="auto" w:fill="F2F5FB"/>
          </w:tcPr>
          <w:p>
            <w:r/>
            <w:r>
              <w:rPr>
                <w:sz w:val="21"/>
              </w:rPr>
              <w:t>Auditor</w:t>
            </w:r>
          </w:p>
        </w:tc>
        <w:tc>
          <w:tcPr>
            <w:tcW w:type="dxa" w:w="3118"/>
            <w:shd w:val="clear" w:color="auto" w:fill="F2F5FB"/>
          </w:tcPr>
          <w:p>
            <w:r/>
            <w:r>
              <w:rPr>
                <w:sz w:val="21"/>
              </w:rPr>
              <w:t>Opens GRC &gt; Evidence</w:t>
            </w:r>
          </w:p>
        </w:tc>
        <w:tc>
          <w:tcPr>
            <w:tcW w:type="dxa" w:w="3572"/>
            <w:shd w:val="clear" w:color="auto" w:fill="F2F5FB"/>
          </w:tcPr>
          <w:p>
            <w:r/>
            <w:r>
              <w:rPr>
                <w:sz w:val="21"/>
              </w:rPr>
              <w:t>Sees Evidence rows tagged 'Auto-collected', timestamped, with the original CSV attached.</w:t>
            </w:r>
          </w:p>
        </w:tc>
      </w:tr>
    </w:tbl>
    <w:p>
      <w:pPr>
        <w:pStyle w:val="Heading1"/>
      </w:pPr>
      <w:r>
        <w:t>5. Supported Integrations</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0B3D91"/>
            <w:vAlign w:val="center"/>
          </w:tcPr>
          <w:p>
            <w:r/>
            <w:r>
              <w:rPr>
                <w:b/>
                <w:color w:val="FFFFFF"/>
                <w:sz w:val="22"/>
              </w:rPr>
              <w:t>Platform</w:t>
            </w:r>
          </w:p>
        </w:tc>
        <w:tc>
          <w:tcPr>
            <w:tcW w:type="dxa" w:w="2268"/>
            <w:shd w:val="clear" w:color="auto" w:fill="0B3D91"/>
            <w:vAlign w:val="center"/>
          </w:tcPr>
          <w:p>
            <w:r/>
            <w:r>
              <w:rPr>
                <w:b/>
                <w:color w:val="FFFFFF"/>
                <w:sz w:val="22"/>
              </w:rPr>
              <w:t>Auth</w:t>
            </w:r>
          </w:p>
        </w:tc>
        <w:tc>
          <w:tcPr>
            <w:tcW w:type="dxa" w:w="3969"/>
            <w:shd w:val="clear" w:color="auto" w:fill="0B3D91"/>
            <w:vAlign w:val="center"/>
          </w:tcPr>
          <w:p>
            <w:r/>
            <w:r>
              <w:rPr>
                <w:b/>
                <w:color w:val="FFFFFF"/>
                <w:sz w:val="22"/>
              </w:rPr>
              <w:t>Sample data sources</w:t>
            </w:r>
          </w:p>
        </w:tc>
      </w:tr>
      <w:tr>
        <w:tc>
          <w:tcPr>
            <w:tcW w:type="dxa" w:w="2835"/>
          </w:tcPr>
          <w:p>
            <w:r/>
            <w:r>
              <w:rPr>
                <w:sz w:val="21"/>
              </w:rPr>
              <w:t>Azure Entra (Active Directory)</w:t>
            </w:r>
          </w:p>
        </w:tc>
        <w:tc>
          <w:tcPr>
            <w:tcW w:type="dxa" w:w="2268"/>
          </w:tcPr>
          <w:p>
            <w:r/>
            <w:r>
              <w:rPr>
                <w:sz w:val="21"/>
              </w:rPr>
              <w:t>OAuth2 (client credentials)</w:t>
            </w:r>
          </w:p>
        </w:tc>
        <w:tc>
          <w:tcPr>
            <w:tcW w:type="dxa" w:w="3969"/>
          </w:tcPr>
          <w:p>
            <w:r/>
            <w:r>
              <w:rPr>
                <w:sz w:val="21"/>
              </w:rPr>
              <w:t>All users; dormant users; privileged roles; conditional access policies; sign-in risk events.</w:t>
            </w:r>
          </w:p>
        </w:tc>
      </w:tr>
      <w:tr>
        <w:tc>
          <w:tcPr>
            <w:tcW w:type="dxa" w:w="2835"/>
            <w:shd w:val="clear" w:color="auto" w:fill="F2F5FB"/>
          </w:tcPr>
          <w:p>
            <w:r/>
            <w:r>
              <w:rPr>
                <w:sz w:val="21"/>
              </w:rPr>
              <w:t>Azure Security</w:t>
            </w:r>
          </w:p>
        </w:tc>
        <w:tc>
          <w:tcPr>
            <w:tcW w:type="dxa" w:w="2268"/>
            <w:shd w:val="clear" w:color="auto" w:fill="F2F5FB"/>
          </w:tcPr>
          <w:p>
            <w:r/>
            <w:r>
              <w:rPr>
                <w:sz w:val="21"/>
              </w:rPr>
              <w:t>OAuth2 (client credentials)</w:t>
            </w:r>
          </w:p>
        </w:tc>
        <w:tc>
          <w:tcPr>
            <w:tcW w:type="dxa" w:w="3969"/>
            <w:shd w:val="clear" w:color="auto" w:fill="F2F5FB"/>
          </w:tcPr>
          <w:p>
            <w:r/>
            <w:r>
              <w:rPr>
                <w:sz w:val="21"/>
              </w:rPr>
              <w:t>Defender for Cloud recommendations; Sentinel incidents; CSPM findings; secure score history.</w:t>
            </w:r>
          </w:p>
        </w:tc>
      </w:tr>
      <w:tr>
        <w:tc>
          <w:tcPr>
            <w:tcW w:type="dxa" w:w="2835"/>
          </w:tcPr>
          <w:p>
            <w:r/>
            <w:r>
              <w:rPr>
                <w:sz w:val="21"/>
              </w:rPr>
              <w:t>Google Cloud</w:t>
            </w:r>
          </w:p>
        </w:tc>
        <w:tc>
          <w:tcPr>
            <w:tcW w:type="dxa" w:w="2268"/>
          </w:tcPr>
          <w:p>
            <w:r/>
            <w:r>
              <w:rPr>
                <w:sz w:val="21"/>
              </w:rPr>
              <w:t>Service account JSON</w:t>
            </w:r>
          </w:p>
        </w:tc>
        <w:tc>
          <w:tcPr>
            <w:tcW w:type="dxa" w:w="3969"/>
          </w:tcPr>
          <w:p>
            <w:r/>
            <w:r>
              <w:rPr>
                <w:sz w:val="21"/>
              </w:rPr>
              <w:t>SCC findings; IAM bindings; org policies; asset inventory.</w:t>
            </w:r>
          </w:p>
        </w:tc>
      </w:tr>
      <w:tr>
        <w:tc>
          <w:tcPr>
            <w:tcW w:type="dxa" w:w="2835"/>
            <w:shd w:val="clear" w:color="auto" w:fill="F2F5FB"/>
          </w:tcPr>
          <w:p>
            <w:r/>
            <w:r>
              <w:rPr>
                <w:sz w:val="21"/>
              </w:rPr>
              <w:t>ServiceNow</w:t>
            </w:r>
          </w:p>
        </w:tc>
        <w:tc>
          <w:tcPr>
            <w:tcW w:type="dxa" w:w="2268"/>
            <w:shd w:val="clear" w:color="auto" w:fill="F2F5FB"/>
          </w:tcPr>
          <w:p>
            <w:r/>
            <w:r>
              <w:rPr>
                <w:sz w:val="21"/>
              </w:rPr>
              <w:t>Basic auth</w:t>
            </w:r>
          </w:p>
        </w:tc>
        <w:tc>
          <w:tcPr>
            <w:tcW w:type="dxa" w:w="3969"/>
            <w:shd w:val="clear" w:color="auto" w:fill="F2F5FB"/>
          </w:tcPr>
          <w:p>
            <w:r/>
            <w:r>
              <w:rPr>
                <w:sz w:val="21"/>
              </w:rPr>
              <w:t>Incidents; change tickets; CMDB asset list; security incidents.</w:t>
            </w:r>
          </w:p>
        </w:tc>
      </w:tr>
      <w:tr>
        <w:tc>
          <w:tcPr>
            <w:tcW w:type="dxa" w:w="2835"/>
          </w:tcPr>
          <w:p>
            <w:r/>
            <w:r>
              <w:rPr>
                <w:sz w:val="21"/>
              </w:rPr>
              <w:t>Tenable</w:t>
            </w:r>
          </w:p>
        </w:tc>
        <w:tc>
          <w:tcPr>
            <w:tcW w:type="dxa" w:w="2268"/>
          </w:tcPr>
          <w:p>
            <w:r/>
            <w:r>
              <w:rPr>
                <w:sz w:val="21"/>
              </w:rPr>
              <w:t>API key + secret</w:t>
            </w:r>
          </w:p>
        </w:tc>
        <w:tc>
          <w:tcPr>
            <w:tcW w:type="dxa" w:w="3969"/>
          </w:tcPr>
          <w:p>
            <w:r/>
            <w:r>
              <w:rPr>
                <w:sz w:val="21"/>
              </w:rPr>
              <w:t>Vulnerability scans; asset coverage; plugin findings.</w:t>
            </w:r>
          </w:p>
        </w:tc>
      </w:tr>
      <w:tr>
        <w:tc>
          <w:tcPr>
            <w:tcW w:type="dxa" w:w="2835"/>
            <w:shd w:val="clear" w:color="auto" w:fill="F2F5FB"/>
          </w:tcPr>
          <w:p>
            <w:r/>
            <w:r>
              <w:rPr>
                <w:sz w:val="21"/>
              </w:rPr>
              <w:t>Acunetix</w:t>
            </w:r>
          </w:p>
        </w:tc>
        <w:tc>
          <w:tcPr>
            <w:tcW w:type="dxa" w:w="2268"/>
            <w:shd w:val="clear" w:color="auto" w:fill="F2F5FB"/>
          </w:tcPr>
          <w:p>
            <w:r/>
            <w:r>
              <w:rPr>
                <w:sz w:val="21"/>
              </w:rPr>
              <w:t>API key</w:t>
            </w:r>
          </w:p>
        </w:tc>
        <w:tc>
          <w:tcPr>
            <w:tcW w:type="dxa" w:w="3969"/>
            <w:shd w:val="clear" w:color="auto" w:fill="F2F5FB"/>
          </w:tcPr>
          <w:p>
            <w:r/>
            <w:r>
              <w:rPr>
                <w:sz w:val="21"/>
              </w:rPr>
              <w:t>Web-app vulnerabilities; scan history; target inventory.</w:t>
            </w:r>
          </w:p>
        </w:tc>
      </w:tr>
      <w:tr>
        <w:tc>
          <w:tcPr>
            <w:tcW w:type="dxa" w:w="2835"/>
          </w:tcPr>
          <w:p>
            <w:r/>
            <w:r>
              <w:rPr>
                <w:sz w:val="21"/>
              </w:rPr>
              <w:t>Cisco (ASA / FTD)</w:t>
            </w:r>
          </w:p>
        </w:tc>
        <w:tc>
          <w:tcPr>
            <w:tcW w:type="dxa" w:w="2268"/>
          </w:tcPr>
          <w:p>
            <w:r/>
            <w:r>
              <w:rPr>
                <w:sz w:val="21"/>
              </w:rPr>
              <w:t>Basic auth</w:t>
            </w:r>
          </w:p>
        </w:tc>
        <w:tc>
          <w:tcPr>
            <w:tcW w:type="dxa" w:w="3969"/>
          </w:tcPr>
          <w:p>
            <w:r/>
            <w:r>
              <w:rPr>
                <w:sz w:val="21"/>
              </w:rPr>
              <w:t>Firewall rule set; object groups; AAA configuration; running-config snapshot.</w:t>
            </w:r>
          </w:p>
        </w:tc>
      </w:tr>
      <w:tr>
        <w:tc>
          <w:tcPr>
            <w:tcW w:type="dxa" w:w="2835"/>
            <w:shd w:val="clear" w:color="auto" w:fill="F2F5FB"/>
          </w:tcPr>
          <w:p>
            <w:r/>
            <w:r>
              <w:rPr>
                <w:sz w:val="21"/>
              </w:rPr>
              <w:t>Palo Alto Networks</w:t>
            </w:r>
          </w:p>
        </w:tc>
        <w:tc>
          <w:tcPr>
            <w:tcW w:type="dxa" w:w="2268"/>
            <w:shd w:val="clear" w:color="auto" w:fill="F2F5FB"/>
          </w:tcPr>
          <w:p>
            <w:r/>
            <w:r>
              <w:rPr>
                <w:sz w:val="21"/>
              </w:rPr>
              <w:t>API key</w:t>
            </w:r>
          </w:p>
        </w:tc>
        <w:tc>
          <w:tcPr>
            <w:tcW w:type="dxa" w:w="3969"/>
            <w:shd w:val="clear" w:color="auto" w:fill="F2F5FB"/>
          </w:tcPr>
          <w:p>
            <w:r/>
            <w:r>
              <w:rPr>
                <w:sz w:val="21"/>
              </w:rPr>
              <w:t>NGFW security rules; threat log summary; address objects.</w:t>
            </w:r>
          </w:p>
        </w:tc>
      </w:tr>
      <w:tr>
        <w:tc>
          <w:tcPr>
            <w:tcW w:type="dxa" w:w="2835"/>
          </w:tcPr>
          <w:p>
            <w:r/>
            <w:r>
              <w:rPr>
                <w:sz w:val="21"/>
              </w:rPr>
              <w:t>FortiGate</w:t>
            </w:r>
          </w:p>
        </w:tc>
        <w:tc>
          <w:tcPr>
            <w:tcW w:type="dxa" w:w="2268"/>
          </w:tcPr>
          <w:p>
            <w:r/>
            <w:r>
              <w:rPr>
                <w:sz w:val="21"/>
              </w:rPr>
              <w:t>API token</w:t>
            </w:r>
          </w:p>
        </w:tc>
        <w:tc>
          <w:tcPr>
            <w:tcW w:type="dxa" w:w="3969"/>
          </w:tcPr>
          <w:p>
            <w:r/>
            <w:r>
              <w:rPr>
                <w:sz w:val="21"/>
              </w:rPr>
              <w:t>Firewall policies; UTM profiles; address book; admin accounts.</w:t>
            </w:r>
          </w:p>
        </w:tc>
      </w:tr>
    </w:tbl>
    <w:p>
      <w:pPr>
        <w:pStyle w:val="Heading1"/>
      </w:pPr>
      <w:r>
        <w:t>6. Security &amp; Compliance</w:t>
      </w:r>
    </w:p>
    <w:p>
      <w:pPr>
        <w:pStyle w:val="Heading2"/>
      </w:pPr>
      <w:r>
        <w:t>6.1 Credential encryption</w:t>
      </w:r>
    </w:p>
    <w:p>
      <w:pPr>
        <w:pStyle w:val="ListBullet"/>
      </w:pPr>
      <w:r>
        <w:t>Algorithm: AES-256-GCM with 12-byte random IV + 16-byte auth tag.</w:t>
      </w:r>
    </w:p>
    <w:p>
      <w:pPr>
        <w:pStyle w:val="ListBullet"/>
      </w:pPr>
      <w:r>
        <w:t>Key: 32-byte symmetric key derived from CREDENTIAL_ENCRYPTION_KEY (env var, stored in DigitalOcean encrypted env). Separate from the field-encryption key used for Bytes columns.</w:t>
      </w:r>
    </w:p>
    <w:p>
      <w:pPr>
        <w:pStyle w:val="ListBullet"/>
      </w:pPr>
      <w:r>
        <w:t>Storage: ciphertext only on IntegrationCredential.credentialsEncrypted. Plaintext exists only in process memory during a collection or test call.</w:t>
      </w:r>
    </w:p>
    <w:p>
      <w:pPr>
        <w:pStyle w:val="ListBullet"/>
      </w:pPr>
      <w:r>
        <w:t>Rotation: rotating CREDENTIAL_ENCRYPTION_KEY requires a re-encrypt sweep (procedure documented in SECURITY.md).</w:t>
      </w:r>
    </w:p>
    <w:p>
      <w:pPr>
        <w:pStyle w:val="Heading2"/>
      </w:pPr>
      <w:r>
        <w:t>6.2 RBAC</w:t>
      </w:r>
    </w:p>
    <w:tbl>
      <w:tblPr>
        <w:tblStyle w:val="LightGrid-Accent1"/>
        <w:tblW w:type="auto" w:w="0"/>
        <w:tblLook w:firstColumn="1" w:firstRow="1" w:lastColumn="0" w:lastRow="0" w:noHBand="0" w:noVBand="1" w:val="04A0"/>
      </w:tblPr>
      <w:tblGrid>
        <w:gridCol w:w="2880"/>
        <w:gridCol w:w="2880"/>
        <w:gridCol w:w="2880"/>
      </w:tblGrid>
      <w:tr>
        <w:tc>
          <w:tcPr>
            <w:tcW w:type="dxa" w:w="3118"/>
            <w:shd w:val="clear" w:color="auto" w:fill="0B3D91"/>
            <w:vAlign w:val="center"/>
          </w:tcPr>
          <w:p>
            <w:r/>
            <w:r>
              <w:rPr>
                <w:b/>
                <w:color w:val="FFFFFF"/>
                <w:sz w:val="22"/>
              </w:rPr>
              <w:t>Resource</w:t>
            </w:r>
          </w:p>
        </w:tc>
        <w:tc>
          <w:tcPr>
            <w:tcW w:type="dxa" w:w="3685"/>
            <w:shd w:val="clear" w:color="auto" w:fill="0B3D91"/>
            <w:vAlign w:val="center"/>
          </w:tcPr>
          <w:p>
            <w:r/>
            <w:r>
              <w:rPr>
                <w:b/>
                <w:color w:val="FFFFFF"/>
                <w:sz w:val="22"/>
              </w:rPr>
              <w:t>Required permission</w:t>
            </w:r>
          </w:p>
        </w:tc>
        <w:tc>
          <w:tcPr>
            <w:tcW w:type="dxa" w:w="2835"/>
            <w:shd w:val="clear" w:color="auto" w:fill="0B3D91"/>
            <w:vAlign w:val="center"/>
          </w:tcPr>
          <w:p>
            <w:r/>
            <w:r>
              <w:rPr>
                <w:b/>
                <w:color w:val="FFFFFF"/>
                <w:sz w:val="22"/>
              </w:rPr>
              <w:t>Roles with default access</w:t>
            </w:r>
          </w:p>
        </w:tc>
      </w:tr>
      <w:tr>
        <w:tc>
          <w:tcPr>
            <w:tcW w:type="dxa" w:w="3118"/>
          </w:tcPr>
          <w:p>
            <w:r/>
            <w:r>
              <w:rPr>
                <w:sz w:val="21"/>
              </w:rPr>
              <w:t>Credential CRUD</w:t>
            </w:r>
          </w:p>
        </w:tc>
        <w:tc>
          <w:tcPr>
            <w:tcW w:type="dxa" w:w="3685"/>
          </w:tcPr>
          <w:p>
            <w:r/>
            <w:r>
              <w:rPr>
                <w:sz w:val="21"/>
              </w:rPr>
              <w:t>technical-evidence.integration-credentials:create / edit / delete</w:t>
            </w:r>
          </w:p>
        </w:tc>
        <w:tc>
          <w:tcPr>
            <w:tcW w:type="dxa" w:w="2835"/>
          </w:tcPr>
          <w:p>
            <w:r/>
            <w:r>
              <w:rPr>
                <w:sz w:val="21"/>
              </w:rPr>
              <w:t>GRCAdministrator, CustomerAdministrator (TE module)</w:t>
            </w:r>
          </w:p>
        </w:tc>
      </w:tr>
      <w:tr>
        <w:tc>
          <w:tcPr>
            <w:tcW w:type="dxa" w:w="3118"/>
            <w:shd w:val="clear" w:color="auto" w:fill="F2F5FB"/>
          </w:tcPr>
          <w:p>
            <w:r/>
            <w:r>
              <w:rPr>
                <w:sz w:val="21"/>
              </w:rPr>
              <w:t>Dashboard</w:t>
            </w:r>
          </w:p>
        </w:tc>
        <w:tc>
          <w:tcPr>
            <w:tcW w:type="dxa" w:w="3685"/>
            <w:shd w:val="clear" w:color="auto" w:fill="F2F5FB"/>
          </w:tcPr>
          <w:p>
            <w:r/>
            <w:r>
              <w:rPr>
                <w:sz w:val="21"/>
              </w:rPr>
              <w:t>technical-evidence.dashboard:view</w:t>
            </w:r>
          </w:p>
        </w:tc>
        <w:tc>
          <w:tcPr>
            <w:tcW w:type="dxa" w:w="2835"/>
            <w:shd w:val="clear" w:color="auto" w:fill="F2F5FB"/>
          </w:tcPr>
          <w:p>
            <w:r/>
            <w:r>
              <w:rPr>
                <w:sz w:val="21"/>
              </w:rPr>
              <w:t>GRCAdministrator, CustomerAdministrator (TE module)</w:t>
            </w:r>
          </w:p>
        </w:tc>
      </w:tr>
      <w:tr>
        <w:tc>
          <w:tcPr>
            <w:tcW w:type="dxa" w:w="3118"/>
          </w:tcPr>
          <w:p>
            <w:r/>
            <w:r>
              <w:rPr>
                <w:sz w:val="21"/>
              </w:rPr>
              <w:t>Collection trigger</w:t>
            </w:r>
          </w:p>
        </w:tc>
        <w:tc>
          <w:tcPr>
            <w:tcW w:type="dxa" w:w="3685"/>
          </w:tcPr>
          <w:p>
            <w:r/>
            <w:r>
              <w:rPr>
                <w:sz w:val="21"/>
              </w:rPr>
              <w:t>technical-evidence.dashboard:create</w:t>
            </w:r>
          </w:p>
        </w:tc>
        <w:tc>
          <w:tcPr>
            <w:tcW w:type="dxa" w:w="2835"/>
          </w:tcPr>
          <w:p>
            <w:r/>
            <w:r>
              <w:rPr>
                <w:sz w:val="21"/>
              </w:rPr>
              <w:t>GRCAdministrator, CustomerAdministrator (TE module)</w:t>
            </w:r>
          </w:p>
        </w:tc>
      </w:tr>
      <w:tr>
        <w:tc>
          <w:tcPr>
            <w:tcW w:type="dxa" w:w="3118"/>
            <w:shd w:val="clear" w:color="auto" w:fill="F2F5FB"/>
          </w:tcPr>
          <w:p>
            <w:r/>
            <w:r>
              <w:rPr>
                <w:sz w:val="21"/>
              </w:rPr>
              <w:t>Mapping edit</w:t>
            </w:r>
          </w:p>
        </w:tc>
        <w:tc>
          <w:tcPr>
            <w:tcW w:type="dxa" w:w="3685"/>
            <w:shd w:val="clear" w:color="auto" w:fill="F2F5FB"/>
          </w:tcPr>
          <w:p>
            <w:r/>
            <w:r>
              <w:rPr>
                <w:sz w:val="21"/>
              </w:rPr>
              <w:t>technical-evidence.dashboard:edit</w:t>
            </w:r>
          </w:p>
        </w:tc>
        <w:tc>
          <w:tcPr>
            <w:tcW w:type="dxa" w:w="2835"/>
            <w:shd w:val="clear" w:color="auto" w:fill="F2F5FB"/>
          </w:tcPr>
          <w:p>
            <w:r/>
            <w:r>
              <w:rPr>
                <w:sz w:val="21"/>
              </w:rPr>
              <w:t>GRCAdministrator, CustomerAdministrator (TE module)</w:t>
            </w:r>
          </w:p>
        </w:tc>
      </w:tr>
      <w:tr>
        <w:tc>
          <w:tcPr>
            <w:tcW w:type="dxa" w:w="3118"/>
          </w:tcPr>
          <w:p>
            <w:r/>
            <w:r>
              <w:rPr>
                <w:sz w:val="21"/>
              </w:rPr>
              <w:t>Customer overview</w:t>
            </w:r>
          </w:p>
        </w:tc>
        <w:tc>
          <w:tcPr>
            <w:tcW w:type="dxa" w:w="3685"/>
          </w:tcPr>
          <w:p>
            <w:r/>
            <w:r>
              <w:rPr>
                <w:sz w:val="21"/>
              </w:rPr>
              <w:t>technical-evidence.account-overview:view</w:t>
            </w:r>
          </w:p>
        </w:tc>
        <w:tc>
          <w:tcPr>
            <w:tcW w:type="dxa" w:w="2835"/>
          </w:tcPr>
          <w:p>
            <w:r/>
            <w:r>
              <w:rPr>
                <w:sz w:val="21"/>
              </w:rPr>
              <w:t>GRCAdministrator (superadmin only)</w:t>
            </w:r>
          </w:p>
        </w:tc>
      </w:tr>
      <w:tr>
        <w:tc>
          <w:tcPr>
            <w:tcW w:type="dxa" w:w="3118"/>
            <w:shd w:val="clear" w:color="auto" w:fill="F2F5FB"/>
          </w:tcPr>
          <w:p>
            <w:r/>
            <w:r>
              <w:rPr>
                <w:sz w:val="21"/>
              </w:rPr>
              <w:t>Organization profile</w:t>
            </w:r>
          </w:p>
        </w:tc>
        <w:tc>
          <w:tcPr>
            <w:tcW w:type="dxa" w:w="3685"/>
            <w:shd w:val="clear" w:color="auto" w:fill="F2F5FB"/>
          </w:tcPr>
          <w:p>
            <w:r/>
            <w:r>
              <w:rPr>
                <w:sz w:val="21"/>
              </w:rPr>
              <w:t>technical-evidence.organization-profile:view / edit</w:t>
            </w:r>
          </w:p>
        </w:tc>
        <w:tc>
          <w:tcPr>
            <w:tcW w:type="dxa" w:w="2835"/>
            <w:shd w:val="clear" w:color="auto" w:fill="F2F5FB"/>
          </w:tcPr>
          <w:p>
            <w:r/>
            <w:r>
              <w:rPr>
                <w:sz w:val="21"/>
              </w:rPr>
              <w:t>GRCAdministrator, CustomerAdministrator (TE module)</w:t>
            </w:r>
          </w:p>
        </w:tc>
      </w:tr>
    </w:tbl>
    <w:p>
      <w:pPr>
        <w:pStyle w:val="Heading2"/>
      </w:pPr>
      <w:r>
        <w:t>6.3 Multi-tenant isolation</w:t>
      </w:r>
    </w:p>
    <w:p>
      <w:pPr>
        <w:pStyle w:val="ListBullet"/>
      </w:pPr>
      <w:r>
        <w:t>Every IntegrationCredential and TechnicalEvidenceCollection row is scoped by customerAccountId.</w:t>
      </w:r>
    </w:p>
    <w:p>
      <w:pPr>
        <w:pStyle w:val="ListBullet"/>
      </w:pPr>
      <w:r>
        <w:t>API routes wrap handlers with withAuth(), which resolves the session, extracts the tenant filter, and rejects cross-tenant reads at the query layer.</w:t>
      </w:r>
    </w:p>
    <w:p>
      <w:pPr>
        <w:pStyle w:val="ListBullet"/>
      </w:pPr>
      <w:r>
        <w:t>Subscription gating (Subscription + ModuleSubscription) is checked on every layout render and on every navigation that resolves to /technical-evidence/*.</w:t>
      </w:r>
    </w:p>
    <w:p>
      <w:pPr>
        <w:pStyle w:val="Heading1"/>
      </w:pPr>
      <w:r>
        <w:t>7. Operational Notes</w:t>
      </w:r>
    </w:p>
    <w:p>
      <w:pPr>
        <w:pStyle w:val="ListBullet"/>
      </w:pPr>
      <w:r>
        <w:t>Connectors are stateless — each collect call is fully self-contained. No background pollers; the system collects only when invoked by a user or by a scheduled cron (where configured).</w:t>
      </w:r>
    </w:p>
    <w:p>
      <w:pPr>
        <w:pStyle w:val="ListBullet"/>
      </w:pPr>
      <w:r>
        <w:t>Records are written in batches of 100 to avoid Postgres parameter-count limits on bulk inserts.</w:t>
      </w:r>
    </w:p>
    <w:p>
      <w:pPr>
        <w:pStyle w:val="ListBullet"/>
      </w:pPr>
      <w:r>
        <w:t>Connection-test results are advisory; a failed test still allows collection (some platforms throttle test endpoints separately from data endpoints).</w:t>
      </w:r>
    </w:p>
    <w:p>
      <w:pPr>
        <w:pStyle w:val="ListBullet"/>
      </w:pPr>
      <w:r>
        <w:t>When a credential is deleted, all child collections cascade-delete (Prisma onDelete: Cascade). The auto-published Evidence row remains but its technicalEvidenceCollectionId becomes null.</w:t>
      </w:r>
    </w:p>
    <w:p>
      <w:pPr>
        <w:pStyle w:val="Heading1"/>
      </w:pPr>
      <w:r>
        <w:t>8. Roadmap (next 2 quarters)</w:t>
      </w:r>
    </w:p>
    <w:p>
      <w:pPr>
        <w:pStyle w:val="ListBullet"/>
      </w:pPr>
      <w:r>
        <w:t>Scheduled collection (cron per collection, defined by the customer admin).</w:t>
      </w:r>
    </w:p>
    <w:p>
      <w:pPr>
        <w:pStyle w:val="ListBullet"/>
      </w:pPr>
      <w:r>
        <w:t>Diff-based collection (only push changed records into the Evidence CSV).</w:t>
      </w:r>
    </w:p>
    <w:p>
      <w:pPr>
        <w:pStyle w:val="ListBullet"/>
      </w:pPr>
      <w:r>
        <w:t>Additional connectors: CrowdStrike Falcon, Wiz, Okta, AWS Security Hub.</w:t>
      </w:r>
    </w:p>
    <w:p>
      <w:pPr>
        <w:pStyle w:val="ListBullet"/>
      </w:pPr>
      <w:r>
        <w:t>Bring-your-own-LLM for control-mapping suggestions (currently a single fixed model).</w:t>
      </w:r>
    </w:p>
    <w:p>
      <w:pPr>
        <w:pStyle w:val="ListBullet"/>
      </w:pPr>
      <w:r>
        <w:t>Evidence-level approval workflow (a reviewer must confirm before the auto-published Evidence is visible to auditors).</w:t>
      </w:r>
    </w:p>
    <w:p>
      <w:pPr>
        <w:pStyle w:val="Heading1"/>
      </w:pPr>
      <w:r>
        <w:t>9. Glossary</w:t>
      </w:r>
    </w:p>
    <w:tbl>
      <w:tblPr>
        <w:tblStyle w:val="LightGrid-Accent1"/>
        <w:tblW w:type="auto" w:w="0"/>
        <w:tblLook w:firstColumn="1" w:firstRow="1" w:lastColumn="0" w:lastRow="0" w:noHBand="0" w:noVBand="1" w:val="04A0"/>
      </w:tblPr>
      <w:tblGrid>
        <w:gridCol w:w="4320"/>
        <w:gridCol w:w="4320"/>
      </w:tblGrid>
      <w:tr>
        <w:tc>
          <w:tcPr>
            <w:tcW w:type="dxa" w:w="2268"/>
            <w:shd w:val="clear" w:color="auto" w:fill="0B3D91"/>
            <w:vAlign w:val="center"/>
          </w:tcPr>
          <w:p>
            <w:r/>
            <w:r>
              <w:rPr>
                <w:b/>
                <w:color w:val="FFFFFF"/>
                <w:sz w:val="22"/>
              </w:rPr>
              <w:t>Term</w:t>
            </w:r>
          </w:p>
        </w:tc>
        <w:tc>
          <w:tcPr>
            <w:tcW w:type="dxa" w:w="7370"/>
            <w:shd w:val="clear" w:color="auto" w:fill="0B3D91"/>
            <w:vAlign w:val="center"/>
          </w:tcPr>
          <w:p>
            <w:r/>
            <w:r>
              <w:rPr>
                <w:b/>
                <w:color w:val="FFFFFF"/>
                <w:sz w:val="22"/>
              </w:rPr>
              <w:t>Meaning</w:t>
            </w:r>
          </w:p>
        </w:tc>
      </w:tr>
      <w:tr>
        <w:tc>
          <w:tcPr>
            <w:tcW w:type="dxa" w:w="2268"/>
          </w:tcPr>
          <w:p>
            <w:r/>
            <w:r>
              <w:rPr>
                <w:sz w:val="21"/>
              </w:rPr>
              <w:t>Connector</w:t>
            </w:r>
          </w:p>
        </w:tc>
        <w:tc>
          <w:tcPr>
            <w:tcW w:type="dxa" w:w="7370"/>
          </w:tcPr>
          <w:p>
            <w:r/>
            <w:r>
              <w:rPr>
                <w:sz w:val="21"/>
              </w:rPr>
              <w:t>TypeScript module under src/lib/integrations/ that implements testConnection, getAvailableDataSources, and collectData for one platform.</w:t>
            </w:r>
          </w:p>
        </w:tc>
      </w:tr>
      <w:tr>
        <w:tc>
          <w:tcPr>
            <w:tcW w:type="dxa" w:w="2268"/>
            <w:shd w:val="clear" w:color="auto" w:fill="F2F5FB"/>
          </w:tcPr>
          <w:p>
            <w:r/>
            <w:r>
              <w:rPr>
                <w:sz w:val="21"/>
              </w:rPr>
              <w:t>Collection</w:t>
            </w:r>
          </w:p>
        </w:tc>
        <w:tc>
          <w:tcPr>
            <w:tcW w:type="dxa" w:w="7370"/>
            <w:shd w:val="clear" w:color="auto" w:fill="F2F5FB"/>
          </w:tcPr>
          <w:p>
            <w:r/>
            <w:r>
              <w:rPr>
                <w:sz w:val="21"/>
              </w:rPr>
              <w:t>A definition of one data source backed by one credential — e.g. 'Azure Entra: Dormant Users'.</w:t>
            </w:r>
          </w:p>
        </w:tc>
      </w:tr>
      <w:tr>
        <w:tc>
          <w:tcPr>
            <w:tcW w:type="dxa" w:w="2268"/>
          </w:tcPr>
          <w:p>
            <w:r/>
            <w:r>
              <w:rPr>
                <w:sz w:val="21"/>
              </w:rPr>
              <w:t>Data source</w:t>
            </w:r>
          </w:p>
        </w:tc>
        <w:tc>
          <w:tcPr>
            <w:tcW w:type="dxa" w:w="7370"/>
          </w:tcPr>
          <w:p>
            <w:r/>
            <w:r>
              <w:rPr>
                <w:sz w:val="21"/>
              </w:rPr>
              <w:t>A specific export from a connector — e.g. all users vs. just dormant users.</w:t>
            </w:r>
          </w:p>
        </w:tc>
      </w:tr>
      <w:tr>
        <w:tc>
          <w:tcPr>
            <w:tcW w:type="dxa" w:w="2268"/>
            <w:shd w:val="clear" w:color="auto" w:fill="F2F5FB"/>
          </w:tcPr>
          <w:p>
            <w:r/>
            <w:r>
              <w:rPr>
                <w:sz w:val="21"/>
              </w:rPr>
              <w:t>Record</w:t>
            </w:r>
          </w:p>
        </w:tc>
        <w:tc>
          <w:tcPr>
            <w:tcW w:type="dxa" w:w="7370"/>
            <w:shd w:val="clear" w:color="auto" w:fill="F2F5FB"/>
          </w:tcPr>
          <w:p>
            <w:r/>
            <w:r>
              <w:rPr>
                <w:sz w:val="21"/>
              </w:rPr>
              <w:t>A single row collected from a data source, stored as JSON with a SHA-256 hash.</w:t>
            </w:r>
          </w:p>
        </w:tc>
      </w:tr>
      <w:tr>
        <w:tc>
          <w:tcPr>
            <w:tcW w:type="dxa" w:w="2268"/>
          </w:tcPr>
          <w:p>
            <w:r/>
            <w:r>
              <w:rPr>
                <w:sz w:val="21"/>
              </w:rPr>
              <w:t>Mapping</w:t>
            </w:r>
          </w:p>
        </w:tc>
        <w:tc>
          <w:tcPr>
            <w:tcW w:type="dxa" w:w="7370"/>
          </w:tcPr>
          <w:p>
            <w:r/>
            <w:r>
              <w:rPr>
                <w:sz w:val="21"/>
              </w:rPr>
              <w:t>A link between a collection and a control, marking that the collection serves as evidence for that control.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88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