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7737894"/>
            <wp:docPr id="1" name="Picture 1"/>
            <wp:cNvGraphicFramePr>
              <a:graphicFrameLocks noChangeAspect="1"/>
            </wp:cNvGraphicFramePr>
            <a:graphic>
              <a:graphicData uri="http://schemas.openxmlformats.org/drawingml/2006/picture">
                <pic:pic>
                  <pic:nvPicPr>
                    <pic:cNvPr id="0" name="temp_image.png"/>
                    <pic:cNvPicPr/>
                  </pic:nvPicPr>
                  <pic:blipFill>
                    <a:blip r:embed="rId9"/>
                    <a:stretch>
                      <a:fillRect/>
                    </a:stretch>
                  </pic:blipFill>
                  <pic:spPr>
                    <a:xfrm>
                      <a:off x="0" y="0"/>
                      <a:ext cx="5486400" cy="7737894"/>
                    </a:xfrm>
                    <a:prstGeom prst="rect"/>
                  </pic:spPr>
                </pic:pic>
              </a:graphicData>
            </a:graphic>
          </wp:inline>
        </w:drawing>
      </w:r>
    </w:p>
    <w:p>
      <w:r>
        <w:br w:type="page"/>
      </w:r>
    </w:p>
    <w:tbl>
      <w:tblPr>
        <w:tblStyle w:val="TableGrid"/>
        <w:tblW w:type="auto" w:w="0"/>
        <w:tblLook w:firstColumn="1" w:firstRow="1" w:lastColumn="0" w:lastRow="0" w:noHBand="0" w:noVBand="1" w:val="04A0"/>
      </w:tblPr>
      <w:tblGrid>
        <w:gridCol w:w="4320"/>
        <w:gridCol w:w="4320"/>
      </w:tblGrid>
      <w:tr>
        <w:tc>
          <w:tcPr>
            <w:tcW w:type="dxa" w:w="4320"/>
            <w:vAlign w:val="center"/>
            <w:shd w:val="clear" w:color="auto" w:fill="2A6099"/>
          </w:tcPr>
          <w:p>
            <w:pPr>
              <w:jc w:val="left"/>
            </w:pPr>
            <w:r>
              <w:rPr>
                <w:b/>
                <w:color w:val="FFFFFF"/>
              </w:rPr>
              <w:t>Document ID</w:t>
            </w:r>
          </w:p>
        </w:tc>
        <w:tc>
          <w:tcPr>
            <w:tcW w:type="dxa" w:w="4320"/>
          </w:tcPr>
          <w:p>
            <w:pPr>
              <w:jc w:val="left"/>
            </w:pPr>
            <w:r/>
          </w:p>
        </w:tc>
      </w:tr>
      <w:tr>
        <w:tc>
          <w:tcPr>
            <w:tcW w:type="dxa" w:w="4320"/>
            <w:vAlign w:val="center"/>
            <w:shd w:val="clear" w:color="auto" w:fill="2A6099"/>
          </w:tcPr>
          <w:p>
            <w:pPr>
              <w:jc w:val="left"/>
            </w:pPr>
            <w:r>
              <w:rPr>
                <w:b/>
                <w:color w:val="FFFFFF"/>
              </w:rPr>
              <w:t>Document Name</w:t>
            </w:r>
          </w:p>
        </w:tc>
        <w:tc>
          <w:tcPr>
            <w:tcW w:type="dxa" w:w="4320"/>
          </w:tcPr>
          <w:p>
            <w:pPr>
              <w:jc w:val="left"/>
            </w:pPr>
            <w:r>
              <w:t>Policy</w:t>
            </w:r>
          </w:p>
        </w:tc>
      </w:tr>
      <w:tr>
        <w:tc>
          <w:tcPr>
            <w:tcW w:type="dxa" w:w="4320"/>
            <w:vAlign w:val="center"/>
            <w:shd w:val="clear" w:color="auto" w:fill="2A6099"/>
          </w:tcPr>
          <w:p>
            <w:pPr>
              <w:jc w:val="left"/>
            </w:pPr>
            <w:r>
              <w:rPr>
                <w:b/>
                <w:color w:val="FFFFFF"/>
              </w:rPr>
              <w:t>Document Type</w:t>
            </w:r>
          </w:p>
        </w:tc>
        <w:tc>
          <w:tcPr>
            <w:tcW w:type="dxa" w:w="4320"/>
          </w:tcPr>
          <w:p>
            <w:pPr>
              <w:jc w:val="left"/>
            </w:pPr>
            <w:r>
              <w:t>Cryptographic Protections Policy</w:t>
            </w:r>
          </w:p>
        </w:tc>
      </w:tr>
      <w:tr>
        <w:tc>
          <w:tcPr>
            <w:tcW w:type="dxa" w:w="4320"/>
            <w:vAlign w:val="center"/>
            <w:shd w:val="clear" w:color="auto" w:fill="2A6099"/>
          </w:tcPr>
          <w:p>
            <w:pPr>
              <w:jc w:val="left"/>
            </w:pPr>
            <w:r>
              <w:rPr>
                <w:b/>
                <w:color w:val="FFFFFF"/>
              </w:rPr>
              <w:t>Publishing Date</w:t>
            </w:r>
          </w:p>
        </w:tc>
        <w:tc>
          <w:tcPr>
            <w:tcW w:type="dxa" w:w="4320"/>
          </w:tcPr>
          <w:p>
            <w:r>
              <w:t>2025-01-28 05:57:55</w:t>
            </w:r>
          </w:p>
        </w:tc>
      </w:tr>
    </w:tbl>
    <w:p>
      <w:r>
        <w:br/>
        <w:br/>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A6099"/>
          </w:tcPr>
          <w:p>
            <w:r>
              <w:rPr>
                <w:b/>
                <w:color w:val="FFFFFF"/>
                <w:sz w:val="24"/>
              </w:rPr>
              <w:t>Version</w:t>
            </w:r>
          </w:p>
        </w:tc>
        <w:tc>
          <w:tcPr>
            <w:tcW w:type="dxa" w:w="2160"/>
            <w:shd w:val="clear" w:color="auto" w:fill="2A6099"/>
          </w:tcPr>
          <w:p>
            <w:r>
              <w:rPr>
                <w:b/>
                <w:color w:val="FFFFFF"/>
                <w:sz w:val="24"/>
              </w:rPr>
              <w:t>Date</w:t>
            </w:r>
          </w:p>
        </w:tc>
        <w:tc>
          <w:tcPr>
            <w:tcW w:type="dxa" w:w="2160"/>
            <w:shd w:val="clear" w:color="auto" w:fill="2A6099"/>
          </w:tcPr>
          <w:p>
            <w:r>
              <w:rPr>
                <w:b/>
                <w:color w:val="FFFFFF"/>
                <w:sz w:val="24"/>
              </w:rPr>
              <w:t>Author</w:t>
            </w:r>
          </w:p>
        </w:tc>
        <w:tc>
          <w:tcPr>
            <w:tcW w:type="dxa" w:w="2160"/>
            <w:shd w:val="clear" w:color="auto" w:fill="2A6099"/>
          </w:tcPr>
          <w:p>
            <w:r>
              <w:rPr>
                <w:b/>
                <w:color w:val="FFFFFF"/>
                <w:sz w:val="24"/>
              </w:rPr>
              <w:t>Reviewer</w:t>
            </w:r>
          </w:p>
        </w:tc>
      </w:tr>
      <w:tr>
        <w:tc>
          <w:tcPr>
            <w:tcW w:type="dxa" w:w="2160"/>
          </w:tcPr>
          <w:p/>
        </w:tc>
        <w:tc>
          <w:tcPr>
            <w:tcW w:type="dxa" w:w="2160"/>
          </w:tcPr>
          <w:p/>
        </w:tc>
        <w:tc>
          <w:tcPr>
            <w:tcW w:type="dxa" w:w="2160"/>
          </w:tcPr>
          <w:p/>
        </w:tc>
        <w:tc>
          <w:tcPr>
            <w:tcW w:type="dxa" w:w="2160"/>
          </w:tcPr>
          <w:p/>
        </w:tc>
      </w:tr>
    </w:tbl>
    <w:p>
      <w:r>
        <w:br w:type="page"/>
      </w:r>
    </w:p>
    <w:p>
      <w:pPr>
        <w:pStyle w:val="Title"/>
      </w:pPr>
      <w:r>
        <w:t>Table of Contents</w:t>
      </w:r>
    </w:p>
    <w:p>
      <w:r>
        <w:t>1. Introduction</w:t>
      </w:r>
    </w:p>
    <w:p>
      <w:r>
        <w:t>2. Purpose of the Policy</w:t>
      </w:r>
    </w:p>
    <w:p>
      <w:r>
        <w:t>3. Scope and Applicability</w:t>
      </w:r>
    </w:p>
    <w:p>
      <w:r>
        <w:t>4. Objectives</w:t>
      </w:r>
    </w:p>
    <w:p>
      <w:r>
        <w:t>5. Governance and Responsibility</w:t>
      </w:r>
    </w:p>
    <w:p>
      <w:r>
        <w:t>6. Cybersecurity Committee</w:t>
      </w:r>
    </w:p>
    <w:p>
      <w:r>
        <w:t>7. Roles and Responsibilities</w:t>
      </w:r>
    </w:p>
    <w:p>
      <w:r>
        <w:t>8. Reporting Structure</w:t>
      </w:r>
    </w:p>
    <w:p>
      <w:r>
        <w:t>9. Information Security Policy Statement</w:t>
      </w:r>
    </w:p>
    <w:p>
      <w:r>
        <w:t>10. Policy Requirements</w:t>
      </w:r>
    </w:p>
    <w:p>
      <w:r>
        <w:t>11. Policy Compliance</w:t>
      </w:r>
    </w:p>
    <w:p>
      <w:r>
        <w:t>12. Policy Exceptions</w:t>
      </w:r>
    </w:p>
    <w:p>
      <w:r>
        <w:t>13. Related Policies and Documents</w:t>
      </w:r>
    </w:p>
    <w:p>
      <w:r>
        <w:t>14. Review and Maintenance</w:t>
      </w:r>
    </w:p>
    <w:p>
      <w:r>
        <w:t>15. Definitions</w:t>
      </w:r>
    </w:p>
    <w:p>
      <w:r>
        <w:t>16. Appendices</w:t>
      </w:r>
    </w:p>
    <w:p>
      <w:r>
        <w:t>17. List of Controls</w:t>
      </w:r>
    </w:p>
    <w:p>
      <w:r>
        <w:t>18. List of Standards</w:t>
      </w:r>
    </w:p>
    <w:p>
      <w:r>
        <w:br w:type="page"/>
      </w:r>
    </w:p>
    <w:p>
      <w:pPr>
        <w:pStyle w:val="Title"/>
      </w:pPr>
      <w:r>
        <w:t>Cryptographic Protections Policy</w:t>
      </w:r>
    </w:p>
    <w:p>
      <w:pPr>
        <w:pStyle w:val="Heading1"/>
      </w:pPr>
      <w:r>
        <w:t>1. Introduction</w:t>
      </w:r>
    </w:p>
    <w:p>
      <w:r>
        <w:t>The Cryptographic Protections Policy is designed to establish guidelines and procedures for the secure use of cryptographic mechanisms within the organization. Cryptography plays a vital role in protecting the confidentiality, integrity, and availability of data being transmitted and stored. This policy outlines the requirements and controls necessary to maintain a robust cryptographic protection posture to safeguard sensitive information.</w:t>
      </w:r>
    </w:p>
    <w:p>
      <w:pPr>
        <w:pStyle w:val="Heading1"/>
      </w:pPr>
      <w:r>
        <w:t>2. Purpose of the Policy</w:t>
      </w:r>
    </w:p>
    <w:p>
      <w:r>
        <w:t>The purpose of this policy is to ensure that cryptographic mechanisms are effectively utilized to protect data during transmission and storage. By implementing strong cryptographic controls, the organization aims to mitigate the risks associated with unauthorized access, disclosure, or tampering of sensitive information. This policy sets forth the objectives and requirements for the proper implementation and management of cryptographic protections.</w:t>
      </w:r>
    </w:p>
    <w:p>
      <w:pPr>
        <w:pStyle w:val="Heading1"/>
      </w:pPr>
      <w:r>
        <w:t>3. Scope and Applicability</w:t>
      </w:r>
    </w:p>
    <w:p>
      <w:r>
        <w:t>This policy applies to all employees, contractors, and third-party entities who have access to the organization's information systems and data. It encompasses all cryptographic mechanisms used for protecting data in transit, at rest, and during administrative access. Compliance with this policy is mandatory for all individuals and departments within the organization.</w:t>
      </w:r>
    </w:p>
    <w:p>
      <w:pPr>
        <w:pStyle w:val="Heading1"/>
      </w:pPr>
      <w:r>
        <w:t>4. Objectives</w:t>
      </w:r>
    </w:p>
    <w:p>
      <w:r>
        <w:t>1. Ensure the confidentiality of data being transmitted through the use of cryptographic mechanisms.</w:t>
      </w:r>
    </w:p>
    <w:p>
      <w:r>
        <w:t>2. Safeguard the integrity of information during transmission and storage through cryptographic controls.</w:t>
      </w:r>
    </w:p>
    <w:p>
      <w:r>
        <w:t>3. Maintain the availability of data in the event of key loss by individual users.</w:t>
      </w:r>
    </w:p>
    <w:p>
      <w:r>
        <w:t>4. Protect non-console administrative access with cryptographic measures.</w:t>
      </w:r>
    </w:p>
    <w:p>
      <w:r>
        <w:t>5. Secure sensitive and regulated data residing on storage media using encryption.</w:t>
      </w:r>
    </w:p>
    <w:p>
      <w:r>
        <w:t>6. Facilitate secure key management practices to protect cryptographic keys.</w:t>
      </w:r>
    </w:p>
    <w:p>
      <w:r>
        <w:t>7. Implement industry-standard cryptographic technologies for key production and distribution.</w:t>
      </w:r>
    </w:p>
    <w:p>
      <w:r>
        <w:t>8. Prevent unauthorized disclosure of data at rest through cryptographic protections.</w:t>
      </w:r>
    </w:p>
    <w:p>
      <w:r>
        <w:t>9. Enable secure authentication and encryption for wireless access.</w:t>
      </w:r>
    </w:p>
    <w:p>
      <w:r>
        <w:t>10. Comply with relevant statutory and regulatory requirements regarding the export of cryptographic technologies.</w:t>
      </w:r>
    </w:p>
    <w:p>
      <w:pPr>
        <w:pStyle w:val="Heading1"/>
      </w:pPr>
      <w:r>
        <w:t>5. Governance and Responsibility</w:t>
      </w:r>
    </w:p>
    <w:p>
      <w:r>
        <w:t>The Chief Security Officer (CSO) is responsible for overseeing the implementation and enforcement of this policy. The Information Security team will work collaboratively with relevant departments to ensure compliance with cryptographic protections. Each department head is accountable for enforcing the policy within their respective areas.</w:t>
      </w:r>
    </w:p>
    <w:p>
      <w:pPr>
        <w:pStyle w:val="Heading1"/>
      </w:pPr>
      <w:r>
        <w:t>6. Cybersecurity Committee</w:t>
      </w:r>
    </w:p>
    <w:p>
      <w:r>
        <w:t>The Cybersecurity Committee will serve as the governing body responsible for providing oversight and guidance on cryptographic protection initiatives. The committee will review and approve cryptographic mechanisms, key management practices, and exceptions to the policy.</w:t>
      </w:r>
    </w:p>
    <w:p>
      <w:pPr>
        <w:pStyle w:val="Heading1"/>
      </w:pPr>
      <w:r>
        <w:t>7. Roles and Responsibilities</w:t>
      </w:r>
    </w:p>
    <w:p>
      <w:r>
        <w:t>- **Chief Security Officer (CSO):** Responsible for overall policy compliance and enforcement.</w:t>
      </w:r>
    </w:p>
    <w:p>
      <w:r>
        <w:t>- **Information Security Team:** Implements cryptographic controls and monitors compliance.</w:t>
      </w:r>
    </w:p>
    <w:p>
      <w:r>
        <w:t>- **Department Heads:** Ensure adherence to cryptographic protections within their departments.</w:t>
      </w:r>
    </w:p>
    <w:p>
      <w:r>
        <w:t>- **Employees:** Required to follow cryptographic procedures and report any security incidents promptly.</w:t>
      </w:r>
    </w:p>
    <w:p>
      <w:pPr>
        <w:pStyle w:val="Heading1"/>
      </w:pPr>
      <w:r>
        <w:t>8. Reporting Structure</w:t>
      </w:r>
    </w:p>
    <w:p>
      <w:r>
        <w:t>Any incidents or non-compliance with this policy should be reported to the Information Security team immediately. The team will investigate the issue and escalate it to the CSO if necessary. Regular compliance reports will be submitted to the Cybersecurity Committee for review.</w:t>
      </w:r>
    </w:p>
    <w:p>
      <w:pPr>
        <w:pStyle w:val="Heading1"/>
      </w:pPr>
      <w:r>
        <w:t>9. Information Security Policy Statement</w:t>
      </w:r>
    </w:p>
    <w:p>
      <w:r>
        <w:t>The organization is committed to maintaining the confidentiality, integrity, and availability of its data through the effective use of cryptographic protections. All employees are expected to adhere to the cryptographic controls outlined in this policy to protect sensitive information from unauthorized access or manipulation.</w:t>
      </w:r>
    </w:p>
    <w:p>
      <w:pPr>
        <w:pStyle w:val="Heading1"/>
      </w:pPr>
      <w:r>
        <w:t>10. Policy Requirements</w:t>
      </w:r>
    </w:p>
    <w:p>
      <w:r>
        <w:t>1. Encryption must be used to protect data during transmission and storage.</w:t>
      </w:r>
    </w:p>
    <w:p>
      <w:r>
        <w:t>2. Cryptographic keys must be securely managed and stored.</w:t>
      </w:r>
    </w:p>
    <w:p>
      <w:r>
        <w:t>3. Access to cryptographic mechanisms should be restricted to authorized personnel only.</w:t>
      </w:r>
    </w:p>
    <w:p>
      <w:r>
        <w:t>4. Regular audits and assessments of cryptographic controls must be conducted.</w:t>
      </w:r>
    </w:p>
    <w:p>
      <w:r>
        <w:t>5. Any exceptions to the policy require approval from the Cybersecurity Committee.</w:t>
      </w:r>
    </w:p>
    <w:p>
      <w:pPr>
        <w:pStyle w:val="Heading1"/>
      </w:pPr>
      <w:r>
        <w:t>11. Policy Compliance</w:t>
      </w:r>
    </w:p>
    <w:p>
      <w:r>
        <w:t>Compliance with this policy will be monitored through regular audits, security assessments, and incident reporting. Non-compliance may result in disciplinary action as per the organization's policies and procedures.</w:t>
      </w:r>
    </w:p>
    <w:p>
      <w:pPr>
        <w:pStyle w:val="Heading1"/>
      </w:pPr>
      <w:r>
        <w:t>12. Policy Exceptions</w:t>
      </w:r>
    </w:p>
    <w:p>
      <w:r>
        <w:t>Exceptions to this policy may be granted in exceptional circumstances with prior approval from the Cybersecurity Committee. Any deviation from the policy must be documented, justified, and reviewed periodically to ensure continued compliance.</w:t>
      </w:r>
    </w:p>
    <w:p>
      <w:pPr>
        <w:pStyle w:val="Heading1"/>
      </w:pPr>
      <w:r>
        <w:t>13. Related Policies and Documents</w:t>
      </w:r>
    </w:p>
    <w:p>
      <w:r>
        <w:t>- Information Security Policy</w:t>
      </w:r>
    </w:p>
    <w:p>
      <w:r>
        <w:t>- Data Encryption Policy</w:t>
      </w:r>
    </w:p>
    <w:p>
      <w:r>
        <w:t>- Access Control Policy</w:t>
      </w:r>
    </w:p>
    <w:p>
      <w:pPr>
        <w:pStyle w:val="Heading1"/>
      </w:pPr>
      <w:r>
        <w:t>14. Review and Maintenance</w:t>
      </w:r>
    </w:p>
    <w:p>
      <w:r>
        <w:t>This policy will be reviewed annually or as needed to ensure its effectiveness and alignment with industry standards and regulatory requirements. Updates may be made by the CSO in consultation with the Cybersecurity Committee.</w:t>
      </w:r>
    </w:p>
    <w:p>
      <w:pPr>
        <w:pStyle w:val="Heading1"/>
      </w:pPr>
      <w:r>
        <w:t>15. Definitions</w:t>
      </w:r>
    </w:p>
    <w:p>
      <w:r>
        <w:t>- **Cryptography:** The practice of securing communication and data through the use of mathematical algorithms.</w:t>
      </w:r>
    </w:p>
    <w:p>
      <w:r>
        <w:t>- **Encryption:** The process of converting plain text into ciphertext to protect the confidentiality of information.</w:t>
      </w:r>
    </w:p>
    <w:p>
      <w:r>
        <w:t>- **Key Management:** The process of generating, storing, distributing, and revoking cryptographic keys.</w:t>
      </w:r>
    </w:p>
    <w:p>
      <w:pPr>
        <w:pStyle w:val="Heading1"/>
      </w:pPr>
      <w:r>
        <w:t>16. Appendices</w:t>
      </w:r>
    </w:p>
    <w:p>
      <w:r>
        <w:t>- N/A</w:t>
      </w:r>
    </w:p>
    <w:p>
      <w:pPr>
        <w:pStyle w:val="Heading1"/>
      </w:pPr>
      <w:r>
        <w:t>17. List of Controls</w:t>
      </w:r>
    </w:p>
    <w:p>
      <w:r>
        <w:t>1. Cryptographic mechanisms exist to protect the confidentiality of data being transmitted.</w:t>
      </w:r>
    </w:p>
    <w:p>
      <w:r>
        <w:t>2. Cryptographic mechanisms exist to protect the integrity of data being transmitted.</w:t>
      </w:r>
    </w:p>
    <w:p>
      <w:r>
        <w:t>3. Mechanisms exist to ensure the availability of information in the event of the loss of cryptographic keys by individual users.</w:t>
      </w:r>
    </w:p>
    <w:p>
      <w:r>
        <w:t>4. Cryptographic mechanisms exist to protect the confidentiality and integrity of non-console administrative access.</w:t>
      </w:r>
    </w:p>
    <w:p>
      <w:r>
        <w:t>5. Cryptographic mechanisms exist to protect the confidentiality and integrity of sensitive/regulated data residing on storage media.</w:t>
      </w:r>
    </w:p>
    <w:p>
      <w:r>
        <w:t>6. Automated mechanisms exist to enable systems to authenticate to a cryptographic module.</w:t>
      </w:r>
    </w:p>
    <w:p>
      <w:r>
        <w:t>7. Mechanisms exist to facilitate cryptographic key management controls to protect the confidentiality, integrity, and availability of keys.</w:t>
      </w:r>
    </w:p>
    <w:p>
      <w:r>
        <w:t>8. Mechanisms exist to facilitate the production and management of symmetric cryptographic keys using Federal Information Processing Standards (FIPS)-compliant key management technology and processes.</w:t>
      </w:r>
    </w:p>
    <w:p>
      <w:r>
        <w:t>9. Mechanisms exist to facilitate the production and management of asymmetric cryptographic keys using Federal Information Processing Standards (FIPS)-compliant key management technology and processes that protect the user’s private key.</w:t>
      </w:r>
    </w:p>
    <w:p>
      <w:r>
        <w:t>10. Mechanisms exist to facilitate the secure distribution of symmetric and asymmetric cryptographic keys using industry-recognized key management technology and processes.</w:t>
      </w:r>
    </w:p>
    <w:p>
      <w:r>
        <w:t>11. Mechanisms exist to protect wireless access via secure authentication and encryption.</w:t>
      </w:r>
    </w:p>
    <w:p>
      <w:r>
        <w:t>12. Cryptographic mechanisms exist to prevent unauthorized disclosure of data at rest.</w:t>
      </w:r>
    </w:p>
    <w:p>
      <w:r>
        <w:t>13. Mechanisms exist to facilitate the implementation of cryptographic protections controls using known public standards and trusted cryptographic technologies.</w:t>
      </w:r>
    </w:p>
    <w:p>
      <w:r>
        <w:t>14. Automated mechanisms exist to enable the use of organization-defined Certificate Authorities (CAs) to facilitate the establishment of protected sessions.</w:t>
      </w:r>
    </w:p>
    <w:p>
      <w:r>
        <w:t>15. Mechanisms exist to address the exporting of cryptographic technologies in compliance with relevant statutory and regulatory requirements.</w:t>
      </w:r>
    </w:p>
    <w:p>
      <w:pPr>
        <w:pStyle w:val="Heading1"/>
      </w:pPr>
      <w:r>
        <w:t>18. List of Standards</w:t>
      </w:r>
    </w:p>
    <w:p>
      <w:r>
        <w:t>- NIA Standard 2.1</w:t>
      </w:r>
    </w:p>
    <w:p>
      <w:r>
        <w:t>- ISO 27001:2022 Annexure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