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400"/>
        <w:jc w:val="center"/>
      </w:pPr>
      <w:r>
        <w:rPr>
          <w:rFonts w:ascii="Calibri" w:cs="Calibri" w:eastAsia="Calibri" w:hAnsi="Calibri"/>
          <w:b/>
          <w:bCs/>
          <w:color w:val="1e40af"/>
          <w:sz w:val="56"/>
          <w:szCs w:val="56"/>
        </w:rPr>
        <w:t xml:space="preserve">GRC Application</w:t>
      </w:r>
    </w:p>
    <w:p>
      <w:pPr>
        <w:spacing w:after="200"/>
        <w:jc w:val="center"/>
      </w:pPr>
      <w:r>
        <w:rPr>
          <w:rFonts w:ascii="Calibri" w:cs="Calibri" w:eastAsia="Calibri" w:hAnsi="Calibri"/>
          <w:color w:val="64748b"/>
          <w:sz w:val="28"/>
          <w:szCs w:val="28"/>
        </w:rPr>
        <w:t xml:space="preserve">User Manual — Department Contributor</w:t>
      </w:r>
    </w:p>
    <w:p>
      <w:pPr>
        <w:spacing w:after="200"/>
      </w:pPr>
    </w:p>
    <w:p>
      <w:pPr>
        <w:spacing w:after="120"/>
      </w:pPr>
      <w:r>
        <w:rPr>
          <w:rFonts w:ascii="Calibri" w:cs="Calibri" w:eastAsia="Calibri" w:hAnsi="Calibri"/>
          <w:b/>
          <w:bCs/>
          <w:color w:val="1e293b"/>
          <w:sz w:val="22"/>
          <w:szCs w:val="22"/>
        </w:rPr>
        <w:t xml:space="preserve">Glimmora International</w:t>
      </w:r>
    </w:p>
    <w:p>
      <w:pPr>
        <w:spacing w:after="120"/>
      </w:pPr>
      <w:r>
        <w:rPr>
          <w:rFonts w:ascii="Calibri" w:cs="Calibri" w:eastAsia="Calibri" w:hAnsi="Calibri"/>
          <w:color w:val="1e293b"/>
          <w:sz w:val="22"/>
          <w:szCs w:val="22"/>
        </w:rPr>
        <w:t xml:space="preserve">Generated: March 12, 2026</w:t>
      </w:r>
    </w:p>
    <w:p>
      <w:pPr>
        <w:spacing w:after="120"/>
      </w:pPr>
      <w:r>
        <w:rPr>
          <w:rFonts w:ascii="Calibri" w:cs="Calibri" w:eastAsia="Calibri" w:hAnsi="Calibri"/>
          <w:color w:val="1e293b"/>
          <w:sz w:val="22"/>
          <w:szCs w:val="22"/>
        </w:rPr>
        <w:t xml:space="preserve">Version 1.0</w:t>
      </w:r>
    </w:p>
    <w:p>
      <w:pPr>
        <w:spacing w:after="200"/>
      </w:pPr>
    </w:p>
    <w:p>
      <w:pPr>
        <w:spacing w:after="120"/>
        <w:ind w:left="360"/>
      </w:pPr>
      <w:r>
        <w:rPr>
          <w:rFonts w:ascii="Calibri" w:cs="Calibri" w:eastAsia="Calibri" w:hAnsi="Calibri"/>
          <w:b/>
          <w:bCs/>
          <w:color w:val="2563eb"/>
          <w:sz w:val="22"/>
          <w:szCs w:val="22"/>
        </w:rPr>
        <w:t xml:space="preserve">Note: </w:t>
      </w:r>
      <w:r>
        <w:rPr>
          <w:rFonts w:ascii="Calibri" w:cs="Calibri" w:eastAsia="Calibri" w:hAnsi="Calibri"/>
          <w:i/>
          <w:iCs/>
          <w:color w:val="64748b"/>
          <w:sz w:val="22"/>
          <w:szCs w:val="22"/>
        </w:rPr>
        <w:t xml:space="preserve">This document is auto-generated and confidential. Do not distribute without authorization.</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Getting Started</w:t>
      </w:r>
    </w:p>
    <w:p>
      <w:pPr>
        <w:pStyle w:val="Heading2"/>
        <w:spacing w:after="150" w:before="300"/>
      </w:pPr>
      <w:r>
        <w:rPr>
          <w:rFonts w:ascii="Calibri" w:cs="Calibri" w:eastAsia="Calibri" w:hAnsi="Calibri"/>
          <w:b/>
          <w:bCs/>
          <w:color w:val="1e293b"/>
          <w:sz w:val="28"/>
          <w:szCs w:val="28"/>
        </w:rPr>
        <w:t xml:space="preserve">Logging In</w:t>
      </w:r>
    </w:p>
    <w:p>
      <w:pPr>
        <w:spacing w:after="120"/>
      </w:pPr>
      <w:r>
        <w:rPr>
          <w:rFonts w:ascii="Calibri" w:cs="Calibri" w:eastAsia="Calibri" w:hAnsi="Calibri"/>
          <w:color w:val="1e293b"/>
          <w:sz w:val="22"/>
          <w:szCs w:val="22"/>
        </w:rPr>
        <w:t xml:space="preserve">To access the application:</w:t>
      </w:r>
    </w:p>
    <w:p>
      <w:pPr>
        <w:pStyle w:val="ListParagraph"/>
        <w:numPr>
          <w:ilvl w:val="0"/>
          <w:numId w:val="1"/>
        </w:numPr>
        <w:spacing w:after="60"/>
      </w:pPr>
      <w:r>
        <w:rPr>
          <w:rFonts w:ascii="Calibri" w:cs="Calibri" w:eastAsia="Calibri" w:hAnsi="Calibri"/>
          <w:color w:val="1e293b"/>
          <w:sz w:val="22"/>
          <w:szCs w:val="22"/>
        </w:rPr>
        <w:t xml:space="preserve">Open your web browser and navigate to the application URL provided by your administrator.</w:t>
      </w:r>
    </w:p>
    <w:p>
      <w:pPr>
        <w:pStyle w:val="ListParagraph"/>
        <w:numPr>
          <w:ilvl w:val="0"/>
          <w:numId w:val="1"/>
        </w:numPr>
        <w:spacing w:after="60"/>
      </w:pPr>
      <w:r>
        <w:rPr>
          <w:rFonts w:ascii="Calibri" w:cs="Calibri" w:eastAsia="Calibri" w:hAnsi="Calibri"/>
          <w:color w:val="1e293b"/>
          <w:sz w:val="22"/>
          <w:szCs w:val="22"/>
        </w:rPr>
        <w:t xml:space="preserve">Enter your username and password on the login page.</w:t>
      </w:r>
    </w:p>
    <w:p>
      <w:pPr>
        <w:pStyle w:val="ListParagraph"/>
        <w:numPr>
          <w:ilvl w:val="0"/>
          <w:numId w:val="1"/>
        </w:numPr>
        <w:spacing w:after="60"/>
      </w:pPr>
      <w:r>
        <w:rPr>
          <w:rFonts w:ascii="Calibri" w:cs="Calibri" w:eastAsia="Calibri" w:hAnsi="Calibri"/>
          <w:color w:val="1e293b"/>
          <w:sz w:val="22"/>
          <w:szCs w:val="22"/>
        </w:rPr>
        <w:t xml:space="preserve">Click "Sign In" to access the application.</w:t>
      </w:r>
    </w:p>
    <w:p>
      <w:pPr>
        <w:pStyle w:val="ListParagraph"/>
        <w:numPr>
          <w:ilvl w:val="0"/>
          <w:numId w:val="1"/>
        </w:numPr>
        <w:spacing w:after="60"/>
      </w:pPr>
      <w:r>
        <w:rPr>
          <w:rFonts w:ascii="Calibri" w:cs="Calibri" w:eastAsia="Calibri" w:hAnsi="Calibri"/>
          <w:color w:val="1e293b"/>
          <w:sz w:val="22"/>
          <w:szCs w:val="22"/>
        </w:rPr>
        <w:t xml:space="preserve">Upon successful login, you will be redirected to your default dashboard.</w:t>
      </w:r>
    </w:p>
    <w:p>
      <w:pPr>
        <w:spacing w:after="200"/>
      </w:pPr>
    </w:p>
    <w:p>
      <w:pPr>
        <w:spacing w:after="2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Login page</w:t>
      </w:r>
    </w:p>
    <w:p>
      <w:pPr>
        <w:spacing w:after="200"/>
      </w:pPr>
    </w:p>
    <w:p>
      <w:pPr>
        <w:pStyle w:val="Heading2"/>
        <w:spacing w:after="150" w:before="300"/>
      </w:pPr>
      <w:r>
        <w:rPr>
          <w:rFonts w:ascii="Calibri" w:cs="Calibri" w:eastAsia="Calibri" w:hAnsi="Calibri"/>
          <w:b/>
          <w:bCs/>
          <w:color w:val="1e293b"/>
          <w:sz w:val="28"/>
          <w:szCs w:val="28"/>
        </w:rPr>
        <w:t xml:space="preserve">Navigation</w:t>
      </w:r>
    </w:p>
    <w:p>
      <w:pPr>
        <w:spacing w:after="120"/>
      </w:pPr>
      <w:r>
        <w:rPr>
          <w:rFonts w:ascii="Calibri" w:cs="Calibri" w:eastAsia="Calibri" w:hAnsi="Calibri"/>
          <w:color w:val="1e293b"/>
          <w:sz w:val="22"/>
          <w:szCs w:val="22"/>
        </w:rPr>
        <w:t xml:space="preserve">The GRC module uses a sidebar navigation menu on the left side of the screen. Each menu item corresponds to a functional area. Your visible menu items depend on your assigned role and permissions.</w:t>
      </w:r>
    </w:p>
    <w:p>
      <w:pPr>
        <w:spacing w:after="120"/>
      </w:pPr>
      <w:r>
        <w:rPr>
          <w:rFonts w:ascii="Calibri" w:cs="Calibri" w:eastAsia="Calibri" w:hAnsi="Calibri"/>
          <w:color w:val="1e293b"/>
          <w:sz w:val="22"/>
          <w:szCs w:val="22"/>
        </w:rPr>
        <w:t xml:space="preserve">Key navigation elements:</w:t>
      </w:r>
    </w:p>
    <w:p>
      <w:pPr>
        <w:pStyle w:val="ListParagraph"/>
        <w:numPr>
          <w:ilvl w:val="0"/>
          <w:numId w:val="1"/>
        </w:numPr>
        <w:spacing w:after="60"/>
      </w:pPr>
      <w:r>
        <w:rPr>
          <w:rFonts w:ascii="Calibri" w:cs="Calibri" w:eastAsia="Calibri" w:hAnsi="Calibri"/>
          <w:color w:val="1e293b"/>
          <w:sz w:val="22"/>
          <w:szCs w:val="22"/>
        </w:rPr>
        <w:t xml:space="preserve">Sidebar menu — Primary navigation to all accessible pages</w:t>
      </w:r>
    </w:p>
    <w:p>
      <w:pPr>
        <w:pStyle w:val="ListParagraph"/>
        <w:numPr>
          <w:ilvl w:val="0"/>
          <w:numId w:val="1"/>
        </w:numPr>
        <w:spacing w:after="60"/>
      </w:pPr>
      <w:r>
        <w:rPr>
          <w:rFonts w:ascii="Calibri" w:cs="Calibri" w:eastAsia="Calibri" w:hAnsi="Calibri"/>
          <w:color w:val="1e293b"/>
          <w:sz w:val="22"/>
          <w:szCs w:val="22"/>
        </w:rPr>
        <w:t xml:space="preserve">Breadcrumb trail — Shows your current location within the application</w:t>
      </w:r>
    </w:p>
    <w:p>
      <w:pPr>
        <w:pStyle w:val="ListParagraph"/>
        <w:numPr>
          <w:ilvl w:val="0"/>
          <w:numId w:val="1"/>
        </w:numPr>
        <w:spacing w:after="60"/>
      </w:pPr>
      <w:r>
        <w:rPr>
          <w:rFonts w:ascii="Calibri" w:cs="Calibri" w:eastAsia="Calibri" w:hAnsi="Calibri"/>
          <w:color w:val="1e293b"/>
          <w:sz w:val="22"/>
          <w:szCs w:val="22"/>
        </w:rPr>
        <w:t xml:space="preserve">Header bar — Contains user profile, notifications, and language switcher</w:t>
      </w:r>
    </w:p>
    <w:p>
      <w:pPr>
        <w:pStyle w:val="ListParagraph"/>
        <w:numPr>
          <w:ilvl w:val="0"/>
          <w:numId w:val="1"/>
        </w:numPr>
        <w:spacing w:after="60"/>
      </w:pPr>
      <w:r>
        <w:rPr>
          <w:rFonts w:ascii="Calibri" w:cs="Calibri" w:eastAsia="Calibri" w:hAnsi="Calibri"/>
          <w:color w:val="1e293b"/>
          <w:sz w:val="22"/>
          <w:szCs w:val="22"/>
        </w:rPr>
        <w:t xml:space="preserve">Language selector — Switch between English, Arabic (RTL), and Latvian</w:t>
      </w:r>
    </w:p>
    <w:p>
      <w:pPr>
        <w:spacing w:after="200"/>
      </w:pPr>
    </w:p>
    <w:p>
      <w:pPr>
        <w:pStyle w:val="Heading2"/>
        <w:spacing w:after="150" w:before="300"/>
      </w:pPr>
      <w:r>
        <w:rPr>
          <w:rFonts w:ascii="Calibri" w:cs="Calibri" w:eastAsia="Calibri" w:hAnsi="Calibri"/>
          <w:b/>
          <w:bCs/>
          <w:color w:val="1e293b"/>
          <w:sz w:val="28"/>
          <w:szCs w:val="28"/>
        </w:rPr>
        <w:t xml:space="preserve">Multi-Language Support</w:t>
      </w:r>
    </w:p>
    <w:p>
      <w:pPr>
        <w:spacing w:after="120"/>
      </w:pPr>
      <w:r>
        <w:rPr>
          <w:rFonts w:ascii="Calibri" w:cs="Calibri" w:eastAsia="Calibri" w:hAnsi="Calibri"/>
          <w:color w:val="1e293b"/>
          <w:sz w:val="22"/>
          <w:szCs w:val="22"/>
        </w:rPr>
        <w:t xml:space="preserve">The application supports three languages:</w:t>
      </w:r>
    </w:p>
    <w:p>
      <w:pPr>
        <w:pStyle w:val="ListParagraph"/>
        <w:numPr>
          <w:ilvl w:val="0"/>
          <w:numId w:val="1"/>
        </w:numPr>
        <w:spacing w:after="60"/>
      </w:pPr>
      <w:r>
        <w:rPr>
          <w:rFonts w:ascii="Calibri" w:cs="Calibri" w:eastAsia="Calibri" w:hAnsi="Calibri"/>
          <w:color w:val="1e293b"/>
          <w:sz w:val="22"/>
          <w:szCs w:val="22"/>
        </w:rPr>
        <w:t xml:space="preserve">English (default) — Left-to-right layout</w:t>
      </w:r>
    </w:p>
    <w:p>
      <w:pPr>
        <w:pStyle w:val="ListParagraph"/>
        <w:numPr>
          <w:ilvl w:val="0"/>
          <w:numId w:val="1"/>
        </w:numPr>
        <w:spacing w:after="60"/>
      </w:pPr>
      <w:r>
        <w:rPr>
          <w:rFonts w:ascii="Calibri" w:cs="Calibri" w:eastAsia="Calibri" w:hAnsi="Calibri"/>
          <w:color w:val="1e293b"/>
          <w:sz w:val="22"/>
          <w:szCs w:val="22"/>
        </w:rPr>
        <w:t xml:space="preserve">Arabic — Right-to-left (RTL) layout with full UI mirroring</w:t>
      </w:r>
    </w:p>
    <w:p>
      <w:pPr>
        <w:pStyle w:val="ListParagraph"/>
        <w:numPr>
          <w:ilvl w:val="0"/>
          <w:numId w:val="1"/>
        </w:numPr>
        <w:spacing w:after="60"/>
      </w:pPr>
      <w:r>
        <w:rPr>
          <w:rFonts w:ascii="Calibri" w:cs="Calibri" w:eastAsia="Calibri" w:hAnsi="Calibri"/>
          <w:color w:val="1e293b"/>
          <w:sz w:val="22"/>
          <w:szCs w:val="22"/>
        </w:rPr>
        <w:t xml:space="preserve">Latvian — Left-to-right layout</w:t>
      </w:r>
    </w:p>
    <w:p>
      <w:pPr>
        <w:spacing w:after="120"/>
      </w:pPr>
      <w:r>
        <w:rPr>
          <w:rFonts w:ascii="Calibri" w:cs="Calibri" w:eastAsia="Calibri" w:hAnsi="Calibri"/>
          <w:color w:val="1e293b"/>
          <w:sz w:val="22"/>
          <w:szCs w:val="22"/>
        </w:rPr>
        <w:t xml:space="preserve">To change the language, use the language selector in the header. All labels, buttons, and system text will be translated. User-entered data (vendor names, risk descriptions, etc.) is also translated dynamically when records are created or edited.</w:t>
      </w:r>
    </w:p>
    <w:p>
      <w:pPr>
        <w:spacing w:after="200"/>
      </w:pPr>
    </w:p>
    <w:p>
      <w:pPr>
        <w:pStyle w:val="Heading2"/>
        <w:spacing w:after="150" w:before="300"/>
      </w:pPr>
      <w:r>
        <w:rPr>
          <w:rFonts w:ascii="Calibri" w:cs="Calibri" w:eastAsia="Calibri" w:hAnsi="Calibri"/>
          <w:b/>
          <w:bCs/>
          <w:color w:val="1e293b"/>
          <w:sz w:val="28"/>
          <w:szCs w:val="28"/>
        </w:rPr>
        <w:t xml:space="preserve">Common UI Patterns</w:t>
      </w:r>
    </w:p>
    <w:p>
      <w:pPr>
        <w:spacing w:after="120"/>
      </w:pPr>
      <w:r>
        <w:rPr>
          <w:rFonts w:ascii="Calibri" w:cs="Calibri" w:eastAsia="Calibri" w:hAnsi="Calibri"/>
          <w:color w:val="1e293b"/>
          <w:sz w:val="22"/>
          <w:szCs w:val="22"/>
        </w:rPr>
        <w:t xml:space="preserve">Throughout the application, you will encounter these common interface patterns:</w:t>
      </w:r>
    </w:p>
    <w:p>
      <w:pPr>
        <w:pStyle w:val="ListParagraph"/>
        <w:numPr>
          <w:ilvl w:val="0"/>
          <w:numId w:val="1"/>
        </w:numPr>
        <w:spacing w:after="60"/>
      </w:pPr>
      <w:r>
        <w:rPr>
          <w:rFonts w:ascii="Calibri" w:cs="Calibri" w:eastAsia="Calibri" w:hAnsi="Calibri"/>
          <w:color w:val="1e293b"/>
          <w:sz w:val="22"/>
          <w:szCs w:val="22"/>
        </w:rPr>
        <w:t xml:space="preserve">Data tables — Sortable, filterable lists with pagination and search</w:t>
      </w:r>
    </w:p>
    <w:p>
      <w:pPr>
        <w:pStyle w:val="ListParagraph"/>
        <w:numPr>
          <w:ilvl w:val="0"/>
          <w:numId w:val="1"/>
        </w:numPr>
        <w:spacing w:after="60"/>
      </w:pPr>
      <w:r>
        <w:rPr>
          <w:rFonts w:ascii="Calibri" w:cs="Calibri" w:eastAsia="Calibri" w:hAnsi="Calibri"/>
          <w:color w:val="1e293b"/>
          <w:sz w:val="22"/>
          <w:szCs w:val="22"/>
        </w:rPr>
        <w:t xml:space="preserve">Dialog forms — Modal forms for creating and editing records</w:t>
      </w:r>
    </w:p>
    <w:p>
      <w:pPr>
        <w:pStyle w:val="ListParagraph"/>
        <w:numPr>
          <w:ilvl w:val="0"/>
          <w:numId w:val="1"/>
        </w:numPr>
        <w:spacing w:after="60"/>
      </w:pPr>
      <w:r>
        <w:rPr>
          <w:rFonts w:ascii="Calibri" w:cs="Calibri" w:eastAsia="Calibri" w:hAnsi="Calibri"/>
          <w:color w:val="1e293b"/>
          <w:sz w:val="22"/>
          <w:szCs w:val="22"/>
        </w:rPr>
        <w:t xml:space="preserve">Accordion views — Expandable/collapsible sections for detailed information</w:t>
      </w:r>
    </w:p>
    <w:p>
      <w:pPr>
        <w:pStyle w:val="ListParagraph"/>
        <w:numPr>
          <w:ilvl w:val="0"/>
          <w:numId w:val="1"/>
        </w:numPr>
        <w:spacing w:after="60"/>
      </w:pPr>
      <w:r>
        <w:rPr>
          <w:rFonts w:ascii="Calibri" w:cs="Calibri" w:eastAsia="Calibri" w:hAnsi="Calibri"/>
          <w:color w:val="1e293b"/>
          <w:sz w:val="22"/>
          <w:szCs w:val="22"/>
        </w:rPr>
        <w:t xml:space="preserve">Status badges — Color-coded labels indicating record status</w:t>
      </w:r>
    </w:p>
    <w:p>
      <w:pPr>
        <w:pStyle w:val="ListParagraph"/>
        <w:numPr>
          <w:ilvl w:val="0"/>
          <w:numId w:val="1"/>
        </w:numPr>
        <w:spacing w:after="60"/>
      </w:pPr>
      <w:r>
        <w:rPr>
          <w:rFonts w:ascii="Calibri" w:cs="Calibri" w:eastAsia="Calibri" w:hAnsi="Calibri"/>
          <w:color w:val="1e293b"/>
          <w:sz w:val="22"/>
          <w:szCs w:val="22"/>
        </w:rPr>
        <w:t xml:space="preserve">Action buttons — Create, Edit, Delete, Export, and role-specific actions</w:t>
      </w:r>
    </w:p>
    <w:p>
      <w:pPr>
        <w:pStyle w:val="ListParagraph"/>
        <w:numPr>
          <w:ilvl w:val="0"/>
          <w:numId w:val="1"/>
        </w:numPr>
        <w:spacing w:after="60"/>
      </w:pPr>
      <w:r>
        <w:rPr>
          <w:rFonts w:ascii="Calibri" w:cs="Calibri" w:eastAsia="Calibri" w:hAnsi="Calibri"/>
          <w:color w:val="1e293b"/>
          <w:sz w:val="22"/>
          <w:szCs w:val="22"/>
        </w:rPr>
        <w:t xml:space="preserve">Toast notifications — Brief success/error messages after actions</w:t>
      </w:r>
    </w:p>
    <w:p>
      <w:pPr>
        <w:pStyle w:val="ListParagraph"/>
        <w:numPr>
          <w:ilvl w:val="0"/>
          <w:numId w:val="1"/>
        </w:numPr>
        <w:spacing w:after="60"/>
      </w:pPr>
      <w:r>
        <w:rPr>
          <w:rFonts w:ascii="Calibri" w:cs="Calibri" w:eastAsia="Calibri" w:hAnsi="Calibri"/>
          <w:color w:val="1e293b"/>
          <w:sz w:val="22"/>
          <w:szCs w:val="22"/>
        </w:rPr>
        <w:t xml:space="preserve">Charts — Bar charts, pie charts, and progress indicators on dashboards</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Role: Department Contributor</w:t>
      </w:r>
    </w:p>
    <w:p>
      <w:pPr>
        <w:spacing w:after="120"/>
      </w:pPr>
      <w:r>
        <w:rPr>
          <w:rFonts w:ascii="Calibri" w:cs="Calibri" w:eastAsia="Calibri" w:hAnsi="Calibri"/>
          <w:color w:val="1e293b"/>
          <w:sz w:val="22"/>
          <w:szCs w:val="22"/>
        </w:rPr>
        <w:t xml:space="preserve">Contributor scoped to their assigned department. Can create and edit certain records within their department's scope.</w:t>
      </w:r>
    </w:p>
    <w:p>
      <w:pPr>
        <w:spacing w:after="200"/>
      </w:pPr>
    </w:p>
    <w:p>
      <w:pPr>
        <w:pStyle w:val="Heading2"/>
        <w:spacing w:after="150" w:before="300"/>
      </w:pPr>
      <w:r>
        <w:rPr>
          <w:rFonts w:ascii="Calibri" w:cs="Calibri" w:eastAsia="Calibri" w:hAnsi="Calibri"/>
          <w:b/>
          <w:bCs/>
          <w:color w:val="1e293b"/>
          <w:sz w:val="28"/>
          <w:szCs w:val="28"/>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Compliance (dept contribute)</w:t>
      </w:r>
    </w:p>
    <w:p>
      <w:pPr>
        <w:pStyle w:val="ListParagraph"/>
        <w:numPr>
          <w:ilvl w:val="0"/>
          <w:numId w:val="1"/>
        </w:numPr>
        <w:spacing w:after="60"/>
      </w:pPr>
      <w:r>
        <w:rPr>
          <w:rFonts w:ascii="Calibri" w:cs="Calibri" w:eastAsia="Calibri" w:hAnsi="Calibri"/>
          <w:color w:val="1e293b"/>
          <w:sz w:val="22"/>
          <w:szCs w:val="22"/>
        </w:rPr>
        <w:t xml:space="preserve">Risk Management (dept contribute)</w:t>
      </w:r>
    </w:p>
    <w:p>
      <w:pPr>
        <w:pStyle w:val="ListParagraph"/>
        <w:numPr>
          <w:ilvl w:val="0"/>
          <w:numId w:val="1"/>
        </w:numPr>
        <w:spacing w:after="60"/>
      </w:pPr>
      <w:r>
        <w:rPr>
          <w:rFonts w:ascii="Calibri" w:cs="Calibri" w:eastAsia="Calibri" w:hAnsi="Calibri"/>
          <w:color w:val="1e293b"/>
          <w:sz w:val="22"/>
          <w:szCs w:val="22"/>
        </w:rPr>
        <w:t xml:space="preserve">Asset Management (dept contribute)</w:t>
      </w:r>
    </w:p>
    <w:p>
      <w:pPr>
        <w:spacing w:after="200"/>
      </w:pPr>
    </w:p>
    <w:p>
      <w:pPr>
        <w:pStyle w:val="Heading2"/>
        <w:spacing w:after="150" w:before="300"/>
      </w:pPr>
      <w:r>
        <w:rPr>
          <w:rFonts w:ascii="Calibri" w:cs="Calibri" w:eastAsia="Calibri" w:hAnsi="Calibri"/>
          <w:b/>
          <w:bCs/>
          <w:color w:val="1e293b"/>
          <w:sz w:val="28"/>
          <w:szCs w:val="28"/>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Create and edit risks within their department</w:t>
      </w:r>
    </w:p>
    <w:p>
      <w:pPr>
        <w:pStyle w:val="ListParagraph"/>
        <w:numPr>
          <w:ilvl w:val="0"/>
          <w:numId w:val="1"/>
        </w:numPr>
        <w:spacing w:after="60"/>
      </w:pPr>
      <w:r>
        <w:rPr>
          <w:rFonts w:ascii="Calibri" w:cs="Calibri" w:eastAsia="Calibri" w:hAnsi="Calibri"/>
          <w:color w:val="1e293b"/>
          <w:sz w:val="22"/>
          <w:szCs w:val="22"/>
        </w:rPr>
        <w:t xml:space="preserve">Submit evidence for department controls</w:t>
      </w:r>
    </w:p>
    <w:p>
      <w:pPr>
        <w:pStyle w:val="ListParagraph"/>
        <w:numPr>
          <w:ilvl w:val="0"/>
          <w:numId w:val="1"/>
        </w:numPr>
        <w:spacing w:after="60"/>
      </w:pPr>
      <w:r>
        <w:rPr>
          <w:rFonts w:ascii="Calibri" w:cs="Calibri" w:eastAsia="Calibri" w:hAnsi="Calibri"/>
          <w:color w:val="1e293b"/>
          <w:sz w:val="22"/>
          <w:szCs w:val="22"/>
        </w:rPr>
        <w:t xml:space="preserve">Update asset information for department assets</w:t>
      </w:r>
    </w:p>
    <w:p>
      <w:pPr>
        <w:pStyle w:val="ListParagraph"/>
        <w:numPr>
          <w:ilvl w:val="0"/>
          <w:numId w:val="1"/>
        </w:numPr>
        <w:spacing w:after="60"/>
      </w:pPr>
      <w:r>
        <w:rPr>
          <w:rFonts w:ascii="Calibri" w:cs="Calibri" w:eastAsia="Calibri" w:hAnsi="Calibri"/>
          <w:color w:val="1e293b"/>
          <w:sz w:val="22"/>
          <w:szCs w:val="22"/>
        </w:rPr>
        <w:t xml:space="preserve">View department-scoped data</w:t>
      </w:r>
    </w:p>
    <w:p>
      <w:pPr>
        <w:pStyle w:val="ListParagraph"/>
        <w:numPr>
          <w:ilvl w:val="0"/>
          <w:numId w:val="1"/>
        </w:numPr>
        <w:spacing w:after="60"/>
      </w:pPr>
      <w:r>
        <w:rPr>
          <w:rFonts w:ascii="Calibri" w:cs="Calibri" w:eastAsia="Calibri" w:hAnsi="Calibri"/>
          <w:color w:val="1e293b"/>
          <w:sz w:val="22"/>
          <w:szCs w:val="22"/>
        </w:rPr>
        <w:t xml:space="preserve">Create compliance exception requests</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Compliance</w:t>
      </w:r>
    </w:p>
    <w:p>
      <w:pPr>
        <w:spacing w:after="120"/>
      </w:pPr>
      <w:r>
        <w:rPr>
          <w:rFonts w:ascii="Calibri" w:cs="Calibri" w:eastAsia="Calibri" w:hAnsi="Calibri"/>
          <w:color w:val="1e293b"/>
          <w:sz w:val="22"/>
          <w:szCs w:val="22"/>
        </w:rPr>
        <w:t xml:space="preserve">Manage compliance frameworks, controls, governance documents, evidence collection, exceptions, KPIs, risk matrices, and reporting. This module provides comprehensive compliance lifecycle management aligned with industry standards like ISO 27001, NIST, SOC 2, and GDPR.</w:t>
      </w:r>
    </w:p>
    <w:p>
      <w:pPr>
        <w:spacing w:after="200"/>
      </w:pPr>
    </w:p>
    <w:p>
      <w:pPr>
        <w:pStyle w:val="Heading2"/>
        <w:spacing w:after="150" w:before="300"/>
      </w:pPr>
      <w:r>
        <w:rPr>
          <w:rFonts w:ascii="Calibri" w:cs="Calibri" w:eastAsia="Calibri" w:hAnsi="Calibri"/>
          <w:b/>
          <w:bCs/>
          <w:color w:val="1e293b"/>
          <w:sz w:val="28"/>
          <w:szCs w:val="28"/>
        </w:rPr>
        <w:t xml:space="preserve">Framework Selection</w:t>
      </w:r>
    </w:p>
    <w:p>
      <w:pPr>
        <w:spacing w:after="120"/>
      </w:pPr>
      <w:r>
        <w:rPr>
          <w:rFonts w:ascii="Calibri" w:cs="Calibri" w:eastAsia="Calibri" w:hAnsi="Calibri"/>
          <w:color w:val="1e293b"/>
          <w:sz w:val="22"/>
          <w:szCs w:val="22"/>
        </w:rPr>
        <w:t xml:space="preserve">Browse and adopt compliance frameworks (ISO 27001, NIST, SOC 2, GDPR, etc.). Selected frameworks populate controls and requirements. Track compliance percentage, policy percentage, and evidence percentage per framework.</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Framework Selection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Browse available compliance frameworks (cards/grid view)</w:t>
      </w:r>
    </w:p>
    <w:p>
      <w:pPr>
        <w:pStyle w:val="ListParagraph"/>
        <w:numPr>
          <w:ilvl w:val="0"/>
          <w:numId w:val="1"/>
        </w:numPr>
        <w:spacing w:after="60"/>
      </w:pPr>
      <w:r>
        <w:rPr>
          <w:rFonts w:ascii="Calibri" w:cs="Calibri" w:eastAsia="Calibri" w:hAnsi="Calibri"/>
          <w:color w:val="1e293b"/>
          <w:sz w:val="22"/>
          <w:szCs w:val="22"/>
        </w:rPr>
        <w:t xml:space="preserve">View framework details (code, name, description, type, status, country, industry)</w:t>
      </w:r>
    </w:p>
    <w:p>
      <w:pPr>
        <w:pStyle w:val="ListParagraph"/>
        <w:numPr>
          <w:ilvl w:val="0"/>
          <w:numId w:val="1"/>
        </w:numPr>
        <w:spacing w:after="60"/>
      </w:pPr>
      <w:r>
        <w:rPr>
          <w:rFonts w:ascii="Calibri" w:cs="Calibri" w:eastAsia="Calibri" w:hAnsi="Calibri"/>
          <w:color w:val="1e293b"/>
          <w:sz w:val="22"/>
          <w:szCs w:val="22"/>
        </w:rPr>
        <w:t xml:space="preserve">Select/adopt frameworks for your organization</w:t>
      </w:r>
    </w:p>
    <w:p>
      <w:pPr>
        <w:pStyle w:val="ListParagraph"/>
        <w:numPr>
          <w:ilvl w:val="0"/>
          <w:numId w:val="1"/>
        </w:numPr>
        <w:spacing w:after="60"/>
      </w:pPr>
      <w:r>
        <w:rPr>
          <w:rFonts w:ascii="Calibri" w:cs="Calibri" w:eastAsia="Calibri" w:hAnsi="Calibri"/>
          <w:color w:val="1e293b"/>
          <w:sz w:val="22"/>
          <w:szCs w:val="22"/>
        </w:rPr>
        <w:t xml:space="preserve">Track compliance percentage, policy percentage, evidence percentage</w:t>
      </w:r>
    </w:p>
    <w:p>
      <w:pPr>
        <w:pStyle w:val="ListParagraph"/>
        <w:numPr>
          <w:ilvl w:val="0"/>
          <w:numId w:val="1"/>
        </w:numPr>
        <w:spacing w:after="60"/>
      </w:pPr>
      <w:r>
        <w:rPr>
          <w:rFonts w:ascii="Calibri" w:cs="Calibri" w:eastAsia="Calibri" w:hAnsi="Calibri"/>
          <w:color w:val="1e293b"/>
          <w:sz w:val="22"/>
          <w:szCs w:val="22"/>
        </w:rPr>
        <w:t xml:space="preserve">Custom vs. standard framework differentiation</w:t>
      </w:r>
    </w:p>
    <w:p>
      <w:pPr>
        <w:pStyle w:val="ListParagraph"/>
        <w:numPr>
          <w:ilvl w:val="0"/>
          <w:numId w:val="1"/>
        </w:numPr>
        <w:spacing w:after="60"/>
      </w:pPr>
      <w:r>
        <w:rPr>
          <w:rFonts w:ascii="Calibri" w:cs="Calibri" w:eastAsia="Calibri" w:hAnsi="Calibri"/>
          <w:color w:val="1e293b"/>
          <w:sz w:val="22"/>
          <w:szCs w:val="22"/>
        </w:rPr>
        <w:t xml:space="preserve">Import framework templates from Excel</w:t>
      </w:r>
    </w:p>
    <w:p>
      <w:pPr>
        <w:pStyle w:val="ListParagraph"/>
        <w:numPr>
          <w:ilvl w:val="0"/>
          <w:numId w:val="1"/>
        </w:numPr>
        <w:spacing w:after="60"/>
      </w:pPr>
      <w:r>
        <w:rPr>
          <w:rFonts w:ascii="Calibri" w:cs="Calibri" w:eastAsia="Calibri" w:hAnsi="Calibri"/>
          <w:color w:val="1e293b"/>
          <w:sz w:val="22"/>
          <w:szCs w:val="22"/>
        </w:rPr>
        <w:t xml:space="preserve">Export framework data</w:t>
      </w:r>
    </w:p>
    <w:p>
      <w:pPr>
        <w:pStyle w:val="ListParagraph"/>
        <w:numPr>
          <w:ilvl w:val="0"/>
          <w:numId w:val="1"/>
        </w:numPr>
        <w:spacing w:after="60"/>
      </w:pPr>
      <w:r>
        <w:rPr>
          <w:rFonts w:ascii="Calibri" w:cs="Calibri" w:eastAsia="Calibri" w:hAnsi="Calibri"/>
          <w:color w:val="1e293b"/>
          <w:sz w:val="22"/>
          <w:szCs w:val="22"/>
        </w:rPr>
        <w:t xml:space="preserve">Download framework template</w:t>
      </w:r>
    </w:p>
    <w:p>
      <w:pPr>
        <w:pStyle w:val="ListParagraph"/>
        <w:numPr>
          <w:ilvl w:val="0"/>
          <w:numId w:val="1"/>
        </w:numPr>
        <w:spacing w:after="60"/>
      </w:pPr>
      <w:r>
        <w:rPr>
          <w:rFonts w:ascii="Calibri" w:cs="Calibri" w:eastAsia="Calibri" w:hAnsi="Calibri"/>
          <w:color w:val="1e293b"/>
          <w:sz w:val="22"/>
          <w:szCs w:val="22"/>
        </w:rPr>
        <w:t xml:space="preserve">Framework subscription/access management</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Frameworks</w:t>
      </w:r>
    </w:p>
    <w:p>
      <w:pPr>
        <w:spacing w:after="200"/>
      </w:pPr>
    </w:p>
    <w:p>
      <w:pPr>
        <w:pStyle w:val="Heading2"/>
        <w:spacing w:after="150" w:before="300"/>
      </w:pPr>
      <w:r>
        <w:rPr>
          <w:rFonts w:ascii="Calibri" w:cs="Calibri" w:eastAsia="Calibri" w:hAnsi="Calibri"/>
          <w:b/>
          <w:bCs/>
          <w:color w:val="1e293b"/>
          <w:sz w:val="28"/>
          <w:szCs w:val="28"/>
        </w:rPr>
        <w:t xml:space="preserve">Control Assessment</w:t>
      </w:r>
    </w:p>
    <w:p>
      <w:pPr>
        <w:spacing w:after="120"/>
      </w:pPr>
      <w:r>
        <w:rPr>
          <w:rFonts w:ascii="Calibri" w:cs="Calibri" w:eastAsia="Calibri" w:hAnsi="Calibri"/>
          <w:color w:val="1e293b"/>
          <w:sz w:val="22"/>
          <w:szCs w:val="22"/>
        </w:rPr>
        <w:t xml:space="preserve">Manage and assess compliance controls derived from adopted frameworks. Each control maps to framework requirements and can be linked to evidence and risks.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Control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controls with status indicators (Compliant, Partially Compliant, Non-Compliant, Not Assessed)</w:t>
      </w:r>
    </w:p>
    <w:p>
      <w:pPr>
        <w:pStyle w:val="ListParagraph"/>
        <w:numPr>
          <w:ilvl w:val="0"/>
          <w:numId w:val="1"/>
        </w:numPr>
        <w:spacing w:after="60"/>
      </w:pPr>
      <w:r>
        <w:rPr>
          <w:rFonts w:ascii="Calibri" w:cs="Calibri" w:eastAsia="Calibri" w:hAnsi="Calibri"/>
          <w:color w:val="1e293b"/>
          <w:sz w:val="22"/>
          <w:szCs w:val="22"/>
        </w:rPr>
        <w:t xml:space="preserve">View control details (code, name, description, domain, category, status)</w:t>
      </w:r>
    </w:p>
    <w:p>
      <w:pPr>
        <w:pStyle w:val="ListParagraph"/>
        <w:numPr>
          <w:ilvl w:val="0"/>
          <w:numId w:val="1"/>
        </w:numPr>
        <w:spacing w:after="60"/>
      </w:pPr>
      <w:r>
        <w:rPr>
          <w:rFonts w:ascii="Calibri" w:cs="Calibri" w:eastAsia="Calibri" w:hAnsi="Calibri"/>
          <w:color w:val="1e293b"/>
          <w:sz w:val="22"/>
          <w:szCs w:val="22"/>
        </w:rPr>
        <w:t xml:space="preserve">Assess control effectiveness</w:t>
      </w:r>
    </w:p>
    <w:p>
      <w:pPr>
        <w:pStyle w:val="ListParagraph"/>
        <w:numPr>
          <w:ilvl w:val="0"/>
          <w:numId w:val="1"/>
        </w:numPr>
        <w:spacing w:after="60"/>
      </w:pPr>
      <w:r>
        <w:rPr>
          <w:rFonts w:ascii="Calibri" w:cs="Calibri" w:eastAsia="Calibri" w:hAnsi="Calibri"/>
          <w:color w:val="1e293b"/>
          <w:sz w:val="22"/>
          <w:szCs w:val="22"/>
        </w:rPr>
        <w:t xml:space="preserve">Link controls to evidence items</w:t>
      </w:r>
    </w:p>
    <w:p>
      <w:pPr>
        <w:pStyle w:val="ListParagraph"/>
        <w:numPr>
          <w:ilvl w:val="0"/>
          <w:numId w:val="1"/>
        </w:numPr>
        <w:spacing w:after="60"/>
      </w:pPr>
      <w:r>
        <w:rPr>
          <w:rFonts w:ascii="Calibri" w:cs="Calibri" w:eastAsia="Calibri" w:hAnsi="Calibri"/>
          <w:color w:val="1e293b"/>
          <w:sz w:val="22"/>
          <w:szCs w:val="22"/>
        </w:rPr>
        <w:t xml:space="preserve">Map controls to risks</w:t>
      </w:r>
    </w:p>
    <w:p>
      <w:pPr>
        <w:pStyle w:val="ListParagraph"/>
        <w:numPr>
          <w:ilvl w:val="0"/>
          <w:numId w:val="1"/>
        </w:numPr>
        <w:spacing w:after="60"/>
      </w:pPr>
      <w:r>
        <w:rPr>
          <w:rFonts w:ascii="Calibri" w:cs="Calibri" w:eastAsia="Calibri" w:hAnsi="Calibri"/>
          <w:color w:val="1e293b"/>
          <w:sz w:val="22"/>
          <w:szCs w:val="22"/>
        </w:rPr>
        <w:t xml:space="preserve">Multi-select column filtering</w:t>
      </w:r>
    </w:p>
    <w:p>
      <w:pPr>
        <w:pStyle w:val="ListParagraph"/>
        <w:numPr>
          <w:ilvl w:val="0"/>
          <w:numId w:val="1"/>
        </w:numPr>
        <w:spacing w:after="60"/>
      </w:pPr>
      <w:r>
        <w:rPr>
          <w:rFonts w:ascii="Calibri" w:cs="Calibri" w:eastAsia="Calibri" w:hAnsi="Calibri"/>
          <w:color w:val="1e293b"/>
          <w:sz w:val="22"/>
          <w:szCs w:val="22"/>
        </w:rPr>
        <w:t xml:space="preserve">Filter by framework, domain, status</w:t>
      </w:r>
    </w:p>
    <w:p>
      <w:pPr>
        <w:pStyle w:val="ListParagraph"/>
        <w:numPr>
          <w:ilvl w:val="0"/>
          <w:numId w:val="1"/>
        </w:numPr>
        <w:spacing w:after="60"/>
      </w:pPr>
      <w:r>
        <w:rPr>
          <w:rFonts w:ascii="Calibri" w:cs="Calibri" w:eastAsia="Calibri" w:hAnsi="Calibri"/>
          <w:color w:val="1e293b"/>
          <w:sz w:val="22"/>
          <w:szCs w:val="22"/>
        </w:rPr>
        <w:t xml:space="preserve">Bulk assessment capabilities</w:t>
      </w:r>
    </w:p>
    <w:p>
      <w:pPr>
        <w:pStyle w:val="ListParagraph"/>
        <w:numPr>
          <w:ilvl w:val="0"/>
          <w:numId w:val="1"/>
        </w:numPr>
        <w:spacing w:after="60"/>
      </w:pPr>
      <w:r>
        <w:rPr>
          <w:rFonts w:ascii="Calibri" w:cs="Calibri" w:eastAsia="Calibri" w:hAnsi="Calibri"/>
          <w:color w:val="1e293b"/>
          <w:sz w:val="22"/>
          <w:szCs w:val="22"/>
        </w:rPr>
        <w:t xml:space="preserve">Create, edit, delete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Controls</w:t>
      </w:r>
    </w:p>
    <w:p>
      <w:pPr>
        <w:spacing w:after="200"/>
      </w:pPr>
    </w:p>
    <w:p>
      <w:pPr>
        <w:pStyle w:val="Heading2"/>
        <w:spacing w:after="150" w:before="300"/>
      </w:pPr>
      <w:r>
        <w:rPr>
          <w:rFonts w:ascii="Calibri" w:cs="Calibri" w:eastAsia="Calibri" w:hAnsi="Calibri"/>
          <w:b/>
          <w:bCs/>
          <w:color w:val="1e293b"/>
          <w:sz w:val="28"/>
          <w:szCs w:val="28"/>
        </w:rPr>
        <w:t xml:space="preserve">Governance Documents</w:t>
      </w:r>
    </w:p>
    <w:p>
      <w:pPr>
        <w:spacing w:after="120"/>
      </w:pPr>
      <w:r>
        <w:rPr>
          <w:rFonts w:ascii="Calibri" w:cs="Calibri" w:eastAsia="Calibri" w:hAnsi="Calibri"/>
          <w:color w:val="1e293b"/>
          <w:sz w:val="22"/>
          <w:szCs w:val="22"/>
        </w:rPr>
        <w:t xml:space="preserve">Manage policies, procedures, standards, and guidelines. Track document lifecycle including creation, review, approval, and version history. Documents link to frameworks and controls.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Governance Documents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governance documents with version and status</w:t>
      </w:r>
    </w:p>
    <w:p>
      <w:pPr>
        <w:pStyle w:val="ListParagraph"/>
        <w:numPr>
          <w:ilvl w:val="0"/>
          <w:numId w:val="1"/>
        </w:numPr>
        <w:spacing w:after="60"/>
      </w:pPr>
      <w:r>
        <w:rPr>
          <w:rFonts w:ascii="Calibri" w:cs="Calibri" w:eastAsia="Calibri" w:hAnsi="Calibri"/>
          <w:color w:val="1e293b"/>
          <w:sz w:val="22"/>
          <w:szCs w:val="22"/>
        </w:rPr>
        <w:t xml:space="preserve">Create new documents (policy, procedure, standard, guideline)</w:t>
      </w:r>
    </w:p>
    <w:p>
      <w:pPr>
        <w:pStyle w:val="ListParagraph"/>
        <w:numPr>
          <w:ilvl w:val="0"/>
          <w:numId w:val="1"/>
        </w:numPr>
        <w:spacing w:after="60"/>
      </w:pPr>
      <w:r>
        <w:rPr>
          <w:rFonts w:ascii="Calibri" w:cs="Calibri" w:eastAsia="Calibri" w:hAnsi="Calibri"/>
          <w:color w:val="1e293b"/>
          <w:sz w:val="22"/>
          <w:szCs w:val="22"/>
        </w:rPr>
        <w:t xml:space="preserve">Document properties: code, name, version, document type</w:t>
      </w:r>
    </w:p>
    <w:p>
      <w:pPr>
        <w:pStyle w:val="ListParagraph"/>
        <w:numPr>
          <w:ilvl w:val="0"/>
          <w:numId w:val="1"/>
        </w:numPr>
        <w:spacing w:after="60"/>
      </w:pPr>
      <w:r>
        <w:rPr>
          <w:rFonts w:ascii="Calibri" w:cs="Calibri" w:eastAsia="Calibri" w:hAnsi="Calibri"/>
          <w:color w:val="1e293b"/>
          <w:sz w:val="22"/>
          <w:szCs w:val="22"/>
        </w:rPr>
        <w:t xml:space="preserve">Edit document content and metadata</w:t>
      </w:r>
    </w:p>
    <w:p>
      <w:pPr>
        <w:pStyle w:val="ListParagraph"/>
        <w:numPr>
          <w:ilvl w:val="0"/>
          <w:numId w:val="1"/>
        </w:numPr>
        <w:spacing w:after="60"/>
      </w:pPr>
      <w:r>
        <w:rPr>
          <w:rFonts w:ascii="Calibri" w:cs="Calibri" w:eastAsia="Calibri" w:hAnsi="Calibri"/>
          <w:color w:val="1e293b"/>
          <w:sz w:val="22"/>
          <w:szCs w:val="22"/>
        </w:rPr>
        <w:t xml:space="preserve">Document review and approval workflow</w:t>
      </w:r>
    </w:p>
    <w:p>
      <w:pPr>
        <w:pStyle w:val="ListParagraph"/>
        <w:numPr>
          <w:ilvl w:val="0"/>
          <w:numId w:val="1"/>
        </w:numPr>
        <w:spacing w:after="60"/>
      </w:pPr>
      <w:r>
        <w:rPr>
          <w:rFonts w:ascii="Calibri" w:cs="Calibri" w:eastAsia="Calibri" w:hAnsi="Calibri"/>
          <w:color w:val="1e293b"/>
          <w:sz w:val="22"/>
          <w:szCs w:val="22"/>
        </w:rPr>
        <w:t xml:space="preserve">Version history tracking</w:t>
      </w:r>
    </w:p>
    <w:p>
      <w:pPr>
        <w:pStyle w:val="ListParagraph"/>
        <w:numPr>
          <w:ilvl w:val="0"/>
          <w:numId w:val="1"/>
        </w:numPr>
        <w:spacing w:after="60"/>
      </w:pPr>
      <w:r>
        <w:rPr>
          <w:rFonts w:ascii="Calibri" w:cs="Calibri" w:eastAsia="Calibri" w:hAnsi="Calibri"/>
          <w:color w:val="1e293b"/>
          <w:sz w:val="22"/>
          <w:szCs w:val="22"/>
        </w:rPr>
        <w:t xml:space="preserve">Set review schedules and due dates (policy recurrence)</w:t>
      </w:r>
    </w:p>
    <w:p>
      <w:pPr>
        <w:pStyle w:val="ListParagraph"/>
        <w:numPr>
          <w:ilvl w:val="0"/>
          <w:numId w:val="1"/>
        </w:numPr>
        <w:spacing w:after="60"/>
      </w:pPr>
      <w:r>
        <w:rPr>
          <w:rFonts w:ascii="Calibri" w:cs="Calibri" w:eastAsia="Calibri" w:hAnsi="Calibri"/>
          <w:color w:val="1e293b"/>
          <w:sz w:val="22"/>
          <w:szCs w:val="22"/>
        </w:rPr>
        <w:t xml:space="preserve">Assign document owners and reviewers</w:t>
      </w:r>
    </w:p>
    <w:p>
      <w:pPr>
        <w:pStyle w:val="ListParagraph"/>
        <w:numPr>
          <w:ilvl w:val="0"/>
          <w:numId w:val="1"/>
        </w:numPr>
        <w:spacing w:after="60"/>
      </w:pPr>
      <w:r>
        <w:rPr>
          <w:rFonts w:ascii="Calibri" w:cs="Calibri" w:eastAsia="Calibri" w:hAnsi="Calibri"/>
          <w:color w:val="1e293b"/>
          <w:sz w:val="22"/>
          <w:szCs w:val="22"/>
        </w:rPr>
        <w:t xml:space="preserve">Upload supporting files/attachments</w:t>
      </w:r>
    </w:p>
    <w:p>
      <w:pPr>
        <w:pStyle w:val="ListParagraph"/>
        <w:numPr>
          <w:ilvl w:val="0"/>
          <w:numId w:val="1"/>
        </w:numPr>
        <w:spacing w:after="60"/>
      </w:pPr>
      <w:r>
        <w:rPr>
          <w:rFonts w:ascii="Calibri" w:cs="Calibri" w:eastAsia="Calibri" w:hAnsi="Calibri"/>
          <w:color w:val="1e293b"/>
          <w:sz w:val="22"/>
          <w:szCs w:val="22"/>
        </w:rPr>
        <w:t xml:space="preserve">Link documents to frameworks and controls</w:t>
      </w:r>
    </w:p>
    <w:p>
      <w:pPr>
        <w:pStyle w:val="ListParagraph"/>
        <w:numPr>
          <w:ilvl w:val="0"/>
          <w:numId w:val="1"/>
        </w:numPr>
        <w:spacing w:after="60"/>
      </w:pPr>
      <w:r>
        <w:rPr>
          <w:rFonts w:ascii="Calibri" w:cs="Calibri" w:eastAsia="Calibri" w:hAnsi="Calibri"/>
          <w:color w:val="1e293b"/>
          <w:sz w:val="22"/>
          <w:szCs w:val="22"/>
        </w:rPr>
        <w:t xml:space="preserve">Evidence attachment support</w:t>
      </w:r>
    </w:p>
    <w:p>
      <w:pPr>
        <w:pStyle w:val="ListParagraph"/>
        <w:numPr>
          <w:ilvl w:val="0"/>
          <w:numId w:val="1"/>
        </w:numPr>
        <w:spacing w:after="60"/>
      </w:pPr>
      <w:r>
        <w:rPr>
          <w:rFonts w:ascii="Calibri" w:cs="Calibri" w:eastAsia="Calibri" w:hAnsi="Calibri"/>
          <w:color w:val="1e293b"/>
          <w:sz w:val="22"/>
          <w:szCs w:val="22"/>
        </w:rPr>
        <w:t xml:space="preserve">Delete documents</w:t>
      </w:r>
    </w:p>
    <w:p>
      <w:pPr>
        <w:pStyle w:val="ListParagraph"/>
        <w:numPr>
          <w:ilvl w:val="0"/>
          <w:numId w:val="1"/>
        </w:numPr>
        <w:spacing w:after="60"/>
      </w:pPr>
      <w:r>
        <w:rPr>
          <w:rFonts w:ascii="Calibri" w:cs="Calibri" w:eastAsia="Calibri" w:hAnsi="Calibri"/>
          <w:color w:val="1e293b"/>
          <w:sz w:val="22"/>
          <w:szCs w:val="22"/>
        </w:rPr>
        <w:t xml:space="preserve">Download documents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Governance</w:t>
      </w:r>
    </w:p>
    <w:p>
      <w:pPr>
        <w:spacing w:after="200"/>
      </w:pPr>
    </w:p>
    <w:p>
      <w:pPr>
        <w:pStyle w:val="Heading2"/>
        <w:spacing w:after="150" w:before="300"/>
      </w:pPr>
      <w:r>
        <w:rPr>
          <w:rFonts w:ascii="Calibri" w:cs="Calibri" w:eastAsia="Calibri" w:hAnsi="Calibri"/>
          <w:b/>
          <w:bCs/>
          <w:color w:val="1e293b"/>
          <w:sz w:val="28"/>
          <w:szCs w:val="28"/>
        </w:rPr>
        <w:t xml:space="preserve">Evidence Management</w:t>
      </w:r>
    </w:p>
    <w:p>
      <w:pPr>
        <w:spacing w:after="120"/>
      </w:pPr>
      <w:r>
        <w:rPr>
          <w:rFonts w:ascii="Calibri" w:cs="Calibri" w:eastAsia="Calibri" w:hAnsi="Calibri"/>
          <w:color w:val="1e293b"/>
          <w:sz w:val="22"/>
          <w:szCs w:val="22"/>
        </w:rPr>
        <w:t xml:space="preserve">Collect, manage, and track evidence demonstrating compliance with controls. Evidence items can be linked to specific controls, uploaded as files, and go through review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Evidence Management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evidence items with status and due dates</w:t>
      </w:r>
    </w:p>
    <w:p>
      <w:pPr>
        <w:pStyle w:val="ListParagraph"/>
        <w:numPr>
          <w:ilvl w:val="0"/>
          <w:numId w:val="1"/>
        </w:numPr>
        <w:spacing w:after="60"/>
      </w:pPr>
      <w:r>
        <w:rPr>
          <w:rFonts w:ascii="Calibri" w:cs="Calibri" w:eastAsia="Calibri" w:hAnsi="Calibri"/>
          <w:color w:val="1e293b"/>
          <w:sz w:val="22"/>
          <w:szCs w:val="22"/>
        </w:rPr>
        <w:t xml:space="preserve">Create evidence requests and assign to contributors</w:t>
      </w:r>
    </w:p>
    <w:p>
      <w:pPr>
        <w:pStyle w:val="ListParagraph"/>
        <w:numPr>
          <w:ilvl w:val="0"/>
          <w:numId w:val="1"/>
        </w:numPr>
        <w:spacing w:after="60"/>
      </w:pPr>
      <w:r>
        <w:rPr>
          <w:rFonts w:ascii="Calibri" w:cs="Calibri" w:eastAsia="Calibri" w:hAnsi="Calibri"/>
          <w:color w:val="1e293b"/>
          <w:sz w:val="22"/>
          <w:szCs w:val="22"/>
        </w:rPr>
        <w:t xml:space="preserve">Upload evidence files (documents, screenshots, exports)</w:t>
      </w:r>
    </w:p>
    <w:p>
      <w:pPr>
        <w:pStyle w:val="ListParagraph"/>
        <w:numPr>
          <w:ilvl w:val="0"/>
          <w:numId w:val="1"/>
        </w:numPr>
        <w:spacing w:after="60"/>
      </w:pPr>
      <w:r>
        <w:rPr>
          <w:rFonts w:ascii="Calibri" w:cs="Calibri" w:eastAsia="Calibri" w:hAnsi="Calibri"/>
          <w:color w:val="1e293b"/>
          <w:sz w:val="22"/>
          <w:szCs w:val="22"/>
        </w:rPr>
        <w:t xml:space="preserve">Link evidence to specific controls and frameworks</w:t>
      </w:r>
    </w:p>
    <w:p>
      <w:pPr>
        <w:pStyle w:val="ListParagraph"/>
        <w:numPr>
          <w:ilvl w:val="0"/>
          <w:numId w:val="1"/>
        </w:numPr>
        <w:spacing w:after="60"/>
      </w:pPr>
      <w:r>
        <w:rPr>
          <w:rFonts w:ascii="Calibri" w:cs="Calibri" w:eastAsia="Calibri" w:hAnsi="Calibri"/>
          <w:color w:val="1e293b"/>
          <w:sz w:val="22"/>
          <w:szCs w:val="22"/>
        </w:rPr>
        <w:t xml:space="preserve">Track status (Pending, Submitted, Approved, Rejected)</w:t>
      </w:r>
    </w:p>
    <w:p>
      <w:pPr>
        <w:pStyle w:val="ListParagraph"/>
        <w:numPr>
          <w:ilvl w:val="0"/>
          <w:numId w:val="1"/>
        </w:numPr>
        <w:spacing w:after="60"/>
      </w:pPr>
      <w:r>
        <w:rPr>
          <w:rFonts w:ascii="Calibri" w:cs="Calibri" w:eastAsia="Calibri" w:hAnsi="Calibri"/>
          <w:color w:val="1e293b"/>
          <w:sz w:val="22"/>
          <w:szCs w:val="22"/>
        </w:rPr>
        <w:t xml:space="preserve">Set evidence collection due dates</w:t>
      </w:r>
    </w:p>
    <w:p>
      <w:pPr>
        <w:pStyle w:val="ListParagraph"/>
        <w:numPr>
          <w:ilvl w:val="0"/>
          <w:numId w:val="1"/>
        </w:numPr>
        <w:spacing w:after="60"/>
      </w:pPr>
      <w:r>
        <w:rPr>
          <w:rFonts w:ascii="Calibri" w:cs="Calibri" w:eastAsia="Calibri" w:hAnsi="Calibri"/>
          <w:color w:val="1e293b"/>
          <w:sz w:val="22"/>
          <w:szCs w:val="22"/>
        </w:rPr>
        <w:t xml:space="preserve">Review and approve/reject submitted evidence</w:t>
      </w:r>
    </w:p>
    <w:p>
      <w:pPr>
        <w:pStyle w:val="ListParagraph"/>
        <w:numPr>
          <w:ilvl w:val="0"/>
          <w:numId w:val="1"/>
        </w:numPr>
        <w:spacing w:after="60"/>
      </w:pPr>
      <w:r>
        <w:rPr>
          <w:rFonts w:ascii="Calibri" w:cs="Calibri" w:eastAsia="Calibri" w:hAnsi="Calibri"/>
          <w:color w:val="1e293b"/>
          <w:sz w:val="22"/>
          <w:szCs w:val="22"/>
        </w:rPr>
        <w:t xml:space="preserve">AI-powered evidence suggestions</w:t>
      </w:r>
    </w:p>
    <w:p>
      <w:pPr>
        <w:pStyle w:val="ListParagraph"/>
        <w:numPr>
          <w:ilvl w:val="0"/>
          <w:numId w:val="1"/>
        </w:numPr>
        <w:spacing w:after="60"/>
      </w:pPr>
      <w:r>
        <w:rPr>
          <w:rFonts w:ascii="Calibri" w:cs="Calibri" w:eastAsia="Calibri" w:hAnsi="Calibri"/>
          <w:color w:val="1e293b"/>
          <w:sz w:val="22"/>
          <w:szCs w:val="22"/>
        </w:rPr>
        <w:t xml:space="preserve">Evidence versioning</w:t>
      </w:r>
    </w:p>
    <w:p>
      <w:pPr>
        <w:pStyle w:val="ListParagraph"/>
        <w:numPr>
          <w:ilvl w:val="0"/>
          <w:numId w:val="1"/>
        </w:numPr>
        <w:spacing w:after="60"/>
      </w:pPr>
      <w:r>
        <w:rPr>
          <w:rFonts w:ascii="Calibri" w:cs="Calibri" w:eastAsia="Calibri" w:hAnsi="Calibri"/>
          <w:color w:val="1e293b"/>
          <w:sz w:val="22"/>
          <w:szCs w:val="22"/>
        </w:rPr>
        <w:t xml:space="preserve">Filter by status, assignee, control</w:t>
      </w:r>
    </w:p>
    <w:p>
      <w:pPr>
        <w:pStyle w:val="ListParagraph"/>
        <w:numPr>
          <w:ilvl w:val="0"/>
          <w:numId w:val="1"/>
        </w:numPr>
        <w:spacing w:after="60"/>
      </w:pPr>
      <w:r>
        <w:rPr>
          <w:rFonts w:ascii="Calibri" w:cs="Calibri" w:eastAsia="Calibri" w:hAnsi="Calibri"/>
          <w:color w:val="1e293b"/>
          <w:sz w:val="22"/>
          <w:szCs w:val="22"/>
        </w:rPr>
        <w:t xml:space="preserve">Delete evidence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Evidence</w:t>
      </w:r>
    </w:p>
    <w:p>
      <w:pPr>
        <w:spacing w:after="200"/>
      </w:pPr>
    </w:p>
    <w:p>
      <w:pPr>
        <w:pStyle w:val="Heading2"/>
        <w:spacing w:after="150" w:before="300"/>
      </w:pPr>
      <w:r>
        <w:rPr>
          <w:rFonts w:ascii="Calibri" w:cs="Calibri" w:eastAsia="Calibri" w:hAnsi="Calibri"/>
          <w:b/>
          <w:bCs/>
          <w:color w:val="1e293b"/>
          <w:sz w:val="28"/>
          <w:szCs w:val="28"/>
        </w:rPr>
        <w:t xml:space="preserve">Exceptions</w:t>
      </w:r>
    </w:p>
    <w:p>
      <w:pPr>
        <w:spacing w:after="120"/>
      </w:pPr>
      <w:r>
        <w:rPr>
          <w:rFonts w:ascii="Calibri" w:cs="Calibri" w:eastAsia="Calibri" w:hAnsi="Calibri"/>
          <w:color w:val="1e293b"/>
          <w:sz w:val="22"/>
          <w:szCs w:val="22"/>
        </w:rPr>
        <w:t xml:space="preserve">Document and track compliance exceptions — situations where a control cannot be fully implemented and a risk acceptance or compensating control is applied.</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Exceptions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compliance exceptions with status indicators</w:t>
      </w:r>
    </w:p>
    <w:p>
      <w:pPr>
        <w:pStyle w:val="ListParagraph"/>
        <w:numPr>
          <w:ilvl w:val="0"/>
          <w:numId w:val="1"/>
        </w:numPr>
        <w:spacing w:after="60"/>
      </w:pPr>
      <w:r>
        <w:rPr>
          <w:rFonts w:ascii="Calibri" w:cs="Calibri" w:eastAsia="Calibri" w:hAnsi="Calibri"/>
          <w:color w:val="1e293b"/>
          <w:sz w:val="22"/>
          <w:szCs w:val="22"/>
        </w:rPr>
        <w:t xml:space="preserve">Create exception requests with justification</w:t>
      </w:r>
    </w:p>
    <w:p>
      <w:pPr>
        <w:pStyle w:val="ListParagraph"/>
        <w:numPr>
          <w:ilvl w:val="0"/>
          <w:numId w:val="1"/>
        </w:numPr>
        <w:spacing w:after="60"/>
      </w:pPr>
      <w:r>
        <w:rPr>
          <w:rFonts w:ascii="Calibri" w:cs="Calibri" w:eastAsia="Calibri" w:hAnsi="Calibri"/>
          <w:color w:val="1e293b"/>
          <w:sz w:val="22"/>
          <w:szCs w:val="22"/>
        </w:rPr>
        <w:t xml:space="preserve">Exception properties: code, description, severity, status</w:t>
      </w:r>
    </w:p>
    <w:p>
      <w:pPr>
        <w:pStyle w:val="ListParagraph"/>
        <w:numPr>
          <w:ilvl w:val="0"/>
          <w:numId w:val="1"/>
        </w:numPr>
        <w:spacing w:after="60"/>
      </w:pPr>
      <w:r>
        <w:rPr>
          <w:rFonts w:ascii="Calibri" w:cs="Calibri" w:eastAsia="Calibri" w:hAnsi="Calibri"/>
          <w:color w:val="1e293b"/>
          <w:sz w:val="22"/>
          <w:szCs w:val="22"/>
        </w:rPr>
        <w:t xml:space="preserve">Specify compensating controls</w:t>
      </w:r>
    </w:p>
    <w:p>
      <w:pPr>
        <w:pStyle w:val="ListParagraph"/>
        <w:numPr>
          <w:ilvl w:val="0"/>
          <w:numId w:val="1"/>
        </w:numPr>
        <w:spacing w:after="60"/>
      </w:pPr>
      <w:r>
        <w:rPr>
          <w:rFonts w:ascii="Calibri" w:cs="Calibri" w:eastAsia="Calibri" w:hAnsi="Calibri"/>
          <w:color w:val="1e293b"/>
          <w:sz w:val="22"/>
          <w:szCs w:val="22"/>
        </w:rPr>
        <w:t xml:space="preserve">Set exception expiry/target remediation dates</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Track exception approval status (open, in-progress, closed)</w:t>
      </w:r>
    </w:p>
    <w:p>
      <w:pPr>
        <w:pStyle w:val="ListParagraph"/>
        <w:numPr>
          <w:ilvl w:val="0"/>
          <w:numId w:val="1"/>
        </w:numPr>
        <w:spacing w:after="60"/>
      </w:pPr>
      <w:r>
        <w:rPr>
          <w:rFonts w:ascii="Calibri" w:cs="Calibri" w:eastAsia="Calibri" w:hAnsi="Calibri"/>
          <w:color w:val="1e293b"/>
          <w:sz w:val="22"/>
          <w:szCs w:val="22"/>
        </w:rPr>
        <w:t xml:space="preserve">Visual status indicators (pie chart, status timeline)</w:t>
      </w:r>
    </w:p>
    <w:p>
      <w:pPr>
        <w:pStyle w:val="ListParagraph"/>
        <w:numPr>
          <w:ilvl w:val="0"/>
          <w:numId w:val="1"/>
        </w:numPr>
        <w:spacing w:after="60"/>
      </w:pPr>
      <w:r>
        <w:rPr>
          <w:rFonts w:ascii="Calibri" w:cs="Calibri" w:eastAsia="Calibri" w:hAnsi="Calibri"/>
          <w:color w:val="1e293b"/>
          <w:sz w:val="22"/>
          <w:szCs w:val="22"/>
        </w:rPr>
        <w:t xml:space="preserve">Edit and delete exceptions</w:t>
      </w:r>
    </w:p>
    <w:p>
      <w:pPr>
        <w:pStyle w:val="ListParagraph"/>
        <w:numPr>
          <w:ilvl w:val="0"/>
          <w:numId w:val="1"/>
        </w:numPr>
        <w:spacing w:after="60"/>
      </w:pPr>
      <w:r>
        <w:rPr>
          <w:rFonts w:ascii="Calibri" w:cs="Calibri" w:eastAsia="Calibri" w:hAnsi="Calibri"/>
          <w:color w:val="1e293b"/>
          <w:sz w:val="22"/>
          <w:szCs w:val="22"/>
        </w:rPr>
        <w:t xml:space="preserve">Link exceptions to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Exceptions</w:t>
      </w:r>
    </w:p>
    <w:p>
      <w:pPr>
        <w:spacing w:after="200"/>
      </w:pPr>
    </w:p>
    <w:p>
      <w:pPr>
        <w:pStyle w:val="Heading2"/>
        <w:spacing w:after="150" w:before="300"/>
      </w:pPr>
      <w:r>
        <w:rPr>
          <w:rFonts w:ascii="Calibri" w:cs="Calibri" w:eastAsia="Calibri" w:hAnsi="Calibri"/>
          <w:b/>
          <w:bCs/>
          <w:color w:val="1e293b"/>
          <w:sz w:val="28"/>
          <w:szCs w:val="28"/>
        </w:rPr>
        <w:t xml:space="preserve">KPIs</w:t>
      </w:r>
    </w:p>
    <w:p>
      <w:pPr>
        <w:spacing w:after="120"/>
      </w:pPr>
      <w:r>
        <w:rPr>
          <w:rFonts w:ascii="Calibri" w:cs="Calibri" w:eastAsia="Calibri" w:hAnsi="Calibri"/>
          <w:color w:val="1e293b"/>
          <w:sz w:val="22"/>
          <w:szCs w:val="22"/>
        </w:rPr>
        <w:t xml:space="preserve">Define and track Key Performance Indicators for compliance programs. Monitor compliance health through measurable metrics with targets and thresholds.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KPIs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compliance KPIs with current values and targets</w:t>
      </w:r>
    </w:p>
    <w:p>
      <w:pPr>
        <w:pStyle w:val="ListParagraph"/>
        <w:numPr>
          <w:ilvl w:val="0"/>
          <w:numId w:val="1"/>
        </w:numPr>
        <w:spacing w:after="60"/>
      </w:pPr>
      <w:r>
        <w:rPr>
          <w:rFonts w:ascii="Calibri" w:cs="Calibri" w:eastAsia="Calibri" w:hAnsi="Calibri"/>
          <w:color w:val="1e293b"/>
          <w:sz w:val="22"/>
          <w:szCs w:val="22"/>
        </w:rPr>
        <w:t xml:space="preserve">KPI properties: code, objective, description, expected score, actual score</w:t>
      </w:r>
    </w:p>
    <w:p>
      <w:pPr>
        <w:pStyle w:val="ListParagraph"/>
        <w:numPr>
          <w:ilvl w:val="0"/>
          <w:numId w:val="1"/>
        </w:numPr>
        <w:spacing w:after="60"/>
      </w:pPr>
      <w:r>
        <w:rPr>
          <w:rFonts w:ascii="Calibri" w:cs="Calibri" w:eastAsia="Calibri" w:hAnsi="Calibri"/>
          <w:color w:val="1e293b"/>
          <w:sz w:val="22"/>
          <w:szCs w:val="22"/>
        </w:rPr>
        <w:t xml:space="preserve">Department association for each KPI</w:t>
      </w:r>
    </w:p>
    <w:p>
      <w:pPr>
        <w:pStyle w:val="ListParagraph"/>
        <w:numPr>
          <w:ilvl w:val="0"/>
          <w:numId w:val="1"/>
        </w:numPr>
        <w:spacing w:after="60"/>
      </w:pPr>
      <w:r>
        <w:rPr>
          <w:rFonts w:ascii="Calibri" w:cs="Calibri" w:eastAsia="Calibri" w:hAnsi="Calibri"/>
          <w:color w:val="1e293b"/>
          <w:sz w:val="22"/>
          <w:szCs w:val="22"/>
        </w:rPr>
        <w:t xml:space="preserve">Evidence linkage to KPIs</w:t>
      </w:r>
    </w:p>
    <w:p>
      <w:pPr>
        <w:pStyle w:val="ListParagraph"/>
        <w:numPr>
          <w:ilvl w:val="0"/>
          <w:numId w:val="1"/>
        </w:numPr>
        <w:spacing w:after="60"/>
      </w:pPr>
      <w:r>
        <w:rPr>
          <w:rFonts w:ascii="Calibri" w:cs="Calibri" w:eastAsia="Calibri" w:hAnsi="Calibri"/>
          <w:color w:val="1e293b"/>
          <w:sz w:val="22"/>
          <w:szCs w:val="22"/>
        </w:rPr>
        <w:t xml:space="preserve">Review date tracking</w:t>
      </w:r>
    </w:p>
    <w:p>
      <w:pPr>
        <w:pStyle w:val="ListParagraph"/>
        <w:numPr>
          <w:ilvl w:val="0"/>
          <w:numId w:val="1"/>
        </w:numPr>
        <w:spacing w:after="60"/>
      </w:pPr>
      <w:r>
        <w:rPr>
          <w:rFonts w:ascii="Calibri" w:cs="Calibri" w:eastAsia="Calibri" w:hAnsi="Calibri"/>
          <w:color w:val="1e293b"/>
          <w:sz w:val="22"/>
          <w:szCs w:val="22"/>
        </w:rPr>
        <w:t xml:space="preserve">Status tracking: Scheduled, Missed, Overdue, Achieved</w:t>
      </w:r>
    </w:p>
    <w:p>
      <w:pPr>
        <w:pStyle w:val="ListParagraph"/>
        <w:numPr>
          <w:ilvl w:val="0"/>
          <w:numId w:val="1"/>
        </w:numPr>
        <w:spacing w:after="60"/>
      </w:pPr>
      <w:r>
        <w:rPr>
          <w:rFonts w:ascii="Calibri" w:cs="Calibri" w:eastAsia="Calibri" w:hAnsi="Calibri"/>
          <w:color w:val="1e293b"/>
          <w:sz w:val="22"/>
          <w:szCs w:val="22"/>
        </w:rPr>
        <w:t xml:space="preserve">Visual indicators for KPI health</w:t>
      </w:r>
    </w:p>
    <w:p>
      <w:pPr>
        <w:pStyle w:val="ListParagraph"/>
        <w:numPr>
          <w:ilvl w:val="0"/>
          <w:numId w:val="1"/>
        </w:numPr>
        <w:spacing w:after="60"/>
      </w:pPr>
      <w:r>
        <w:rPr>
          <w:rFonts w:ascii="Calibri" w:cs="Calibri" w:eastAsia="Calibri" w:hAnsi="Calibri"/>
          <w:color w:val="1e293b"/>
          <w:sz w:val="22"/>
          <w:szCs w:val="22"/>
        </w:rPr>
        <w:t xml:space="preserve">Filter by status and department</w:t>
      </w:r>
    </w:p>
    <w:p>
      <w:pPr>
        <w:pStyle w:val="ListParagraph"/>
        <w:numPr>
          <w:ilvl w:val="0"/>
          <w:numId w:val="1"/>
        </w:numPr>
        <w:spacing w:after="60"/>
      </w:pPr>
      <w:r>
        <w:rPr>
          <w:rFonts w:ascii="Calibri" w:cs="Calibri" w:eastAsia="Calibri" w:hAnsi="Calibri"/>
          <w:color w:val="1e293b"/>
          <w:sz w:val="22"/>
          <w:szCs w:val="22"/>
        </w:rPr>
        <w:t xml:space="preserve">Search KPIs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KPIs</w:t>
      </w:r>
    </w:p>
    <w:p>
      <w:pPr>
        <w:spacing w:after="200"/>
      </w:pPr>
    </w:p>
    <w:p>
      <w:pPr>
        <w:pStyle w:val="Heading2"/>
        <w:spacing w:after="150" w:before="300"/>
      </w:pPr>
      <w:r>
        <w:rPr>
          <w:rFonts w:ascii="Calibri" w:cs="Calibri" w:eastAsia="Calibri" w:hAnsi="Calibri"/>
          <w:b/>
          <w:bCs/>
          <w:color w:val="1e293b"/>
          <w:sz w:val="28"/>
          <w:szCs w:val="28"/>
        </w:rPr>
        <w:t xml:space="preserve">Risk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gaps in coverage.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Status indicators (compliant, non-compliant, partial compliant, not applicable)</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Residual risk assessment view</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Risk Matrix</w:t>
      </w:r>
    </w:p>
    <w:p>
      <w:pPr>
        <w:spacing w:after="200"/>
      </w:pPr>
    </w:p>
    <w:p>
      <w:pPr>
        <w:pStyle w:val="Heading2"/>
        <w:spacing w:after="150" w:before="300"/>
      </w:pPr>
      <w:r>
        <w:rPr>
          <w:rFonts w:ascii="Calibri" w:cs="Calibri" w:eastAsia="Calibri" w:hAnsi="Calibri"/>
          <w:b/>
          <w:bCs/>
          <w:color w:val="1e293b"/>
          <w:sz w:val="28"/>
          <w:szCs w:val="28"/>
        </w:rPr>
        <w:t xml:space="preserve">Compliance Reports</w:t>
      </w:r>
    </w:p>
    <w:p>
      <w:pPr>
        <w:spacing w:after="120"/>
      </w:pPr>
      <w:r>
        <w:rPr>
          <w:rFonts w:ascii="Calibri" w:cs="Calibri" w:eastAsia="Calibri" w:hAnsi="Calibri"/>
          <w:color w:val="1e293b"/>
          <w:sz w:val="22"/>
          <w:szCs w:val="22"/>
        </w:rPr>
        <w:t xml:space="preserve">Generate compliance reports and analytics. View compliance dashboard with framework coverage metrics.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Compliance reporting and analytics</w:t>
      </w:r>
    </w:p>
    <w:p>
      <w:pPr>
        <w:pStyle w:val="ListParagraph"/>
        <w:numPr>
          <w:ilvl w:val="0"/>
          <w:numId w:val="1"/>
        </w:numPr>
        <w:spacing w:after="60"/>
      </w:pPr>
      <w:r>
        <w:rPr>
          <w:rFonts w:ascii="Calibri" w:cs="Calibri" w:eastAsia="Calibri" w:hAnsi="Calibri"/>
          <w:color w:val="1e293b"/>
          <w:sz w:val="22"/>
          <w:szCs w:val="22"/>
        </w:rPr>
        <w:t xml:space="preserve">Compliance dashboard view</w:t>
      </w:r>
    </w:p>
    <w:p>
      <w:pPr>
        <w:pStyle w:val="ListParagraph"/>
        <w:numPr>
          <w:ilvl w:val="0"/>
          <w:numId w:val="1"/>
        </w:numPr>
        <w:spacing w:after="60"/>
      </w:pPr>
      <w:r>
        <w:rPr>
          <w:rFonts w:ascii="Calibri" w:cs="Calibri" w:eastAsia="Calibri" w:hAnsi="Calibri"/>
          <w:color w:val="1e293b"/>
          <w:sz w:val="22"/>
          <w:szCs w:val="22"/>
        </w:rPr>
        <w:t xml:space="preserve">Framework coverage metrics</w:t>
      </w:r>
    </w:p>
    <w:p>
      <w:pPr>
        <w:pStyle w:val="ListParagraph"/>
        <w:numPr>
          <w:ilvl w:val="0"/>
          <w:numId w:val="1"/>
        </w:numPr>
        <w:spacing w:after="60"/>
      </w:pPr>
      <w:r>
        <w:rPr>
          <w:rFonts w:ascii="Calibri" w:cs="Calibri" w:eastAsia="Calibri" w:hAnsi="Calibri"/>
          <w:color w:val="1e293b"/>
          <w:sz w:val="22"/>
          <w:szCs w:val="22"/>
        </w:rPr>
        <w:t xml:space="preserve">Export and download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Reports</w:t>
      </w:r>
    </w:p>
    <w:p>
      <w:pPr>
        <w:spacing w:after="200"/>
      </w:pPr>
    </w:p>
    <w:p>
      <w:pPr>
        <w:pStyle w:val="Heading2"/>
        <w:spacing w:after="150" w:before="300"/>
      </w:pPr>
      <w:r>
        <w:rPr>
          <w:rFonts w:ascii="Calibri" w:cs="Calibri" w:eastAsia="Calibri" w:hAnsi="Calibri"/>
          <w:b/>
          <w:bCs/>
          <w:color w:val="1e293b"/>
          <w:sz w:val="28"/>
          <w:szCs w:val="28"/>
        </w:rPr>
        <w:t xml:space="preserve">Compliance Master Data</w:t>
      </w:r>
    </w:p>
    <w:p>
      <w:pPr>
        <w:spacing w:after="120"/>
      </w:pPr>
      <w:r>
        <w:rPr>
          <w:rFonts w:ascii="Calibri" w:cs="Calibri" w:eastAsia="Calibri" w:hAnsi="Calibri"/>
          <w:color w:val="1e293b"/>
          <w:sz w:val="22"/>
          <w:szCs w:val="22"/>
        </w:rPr>
        <w:t xml:space="preserve">Centralized configuration for compliance definitions including framework definitions, control templates, domain/category definitions, evidence templates, and governance templates.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Framework definitions and templates</w:t>
      </w:r>
    </w:p>
    <w:p>
      <w:pPr>
        <w:pStyle w:val="ListParagraph"/>
        <w:numPr>
          <w:ilvl w:val="0"/>
          <w:numId w:val="1"/>
        </w:numPr>
        <w:spacing w:after="60"/>
      </w:pPr>
      <w:r>
        <w:rPr>
          <w:rFonts w:ascii="Calibri" w:cs="Calibri" w:eastAsia="Calibri" w:hAnsi="Calibri"/>
          <w:color w:val="1e293b"/>
          <w:sz w:val="22"/>
          <w:szCs w:val="22"/>
        </w:rPr>
        <w:t xml:space="preserve">Control templates</w:t>
      </w:r>
    </w:p>
    <w:p>
      <w:pPr>
        <w:pStyle w:val="ListParagraph"/>
        <w:numPr>
          <w:ilvl w:val="0"/>
          <w:numId w:val="1"/>
        </w:numPr>
        <w:spacing w:after="60"/>
      </w:pPr>
      <w:r>
        <w:rPr>
          <w:rFonts w:ascii="Calibri" w:cs="Calibri" w:eastAsia="Calibri" w:hAnsi="Calibri"/>
          <w:color w:val="1e293b"/>
          <w:sz w:val="22"/>
          <w:szCs w:val="22"/>
        </w:rPr>
        <w:t xml:space="preserve">Domain and category definitions</w:t>
      </w:r>
    </w:p>
    <w:p>
      <w:pPr>
        <w:pStyle w:val="ListParagraph"/>
        <w:numPr>
          <w:ilvl w:val="0"/>
          <w:numId w:val="1"/>
        </w:numPr>
        <w:spacing w:after="60"/>
      </w:pPr>
      <w:r>
        <w:rPr>
          <w:rFonts w:ascii="Calibri" w:cs="Calibri" w:eastAsia="Calibri" w:hAnsi="Calibri"/>
          <w:color w:val="1e293b"/>
          <w:sz w:val="22"/>
          <w:szCs w:val="22"/>
        </w:rPr>
        <w:t xml:space="preserve">Evidence templates</w:t>
      </w:r>
    </w:p>
    <w:p>
      <w:pPr>
        <w:pStyle w:val="ListParagraph"/>
        <w:numPr>
          <w:ilvl w:val="0"/>
          <w:numId w:val="1"/>
        </w:numPr>
        <w:spacing w:after="60"/>
      </w:pPr>
      <w:r>
        <w:rPr>
          <w:rFonts w:ascii="Calibri" w:cs="Calibri" w:eastAsia="Calibri" w:hAnsi="Calibri"/>
          <w:color w:val="1e293b"/>
          <w:sz w:val="22"/>
          <w:szCs w:val="22"/>
        </w:rPr>
        <w:t xml:space="preserve">Governance document templates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Master Data</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Risk Management</w:t>
      </w:r>
    </w:p>
    <w:p>
      <w:pPr>
        <w:spacing w:after="120"/>
      </w:pPr>
      <w:r>
        <w:rPr>
          <w:rFonts w:ascii="Calibri" w:cs="Calibri" w:eastAsia="Calibri" w:hAnsi="Calibri"/>
          <w:color w:val="1e293b"/>
          <w:sz w:val="22"/>
          <w:szCs w:val="22"/>
        </w:rPr>
        <w:t xml:space="preserve">Identify, assess, respond to, and monitor risks across the organization. This module supports the complete risk management lifecycle from identification through treatment, monitoring, and reporting.</w:t>
      </w:r>
    </w:p>
    <w:p>
      <w:pPr>
        <w:spacing w:after="200"/>
      </w:pPr>
    </w:p>
    <w:p>
      <w:pPr>
        <w:pStyle w:val="Heading2"/>
        <w:spacing w:after="150" w:before="300"/>
      </w:pPr>
      <w:r>
        <w:rPr>
          <w:rFonts w:ascii="Calibri" w:cs="Calibri" w:eastAsia="Calibri" w:hAnsi="Calibri"/>
          <w:b/>
          <w:bCs/>
          <w:color w:val="1e293b"/>
          <w:sz w:val="28"/>
          <w:szCs w:val="28"/>
        </w:rPr>
        <w:t xml:space="preserve">Risk Dashboard</w:t>
      </w:r>
    </w:p>
    <w:p>
      <w:pPr>
        <w:spacing w:after="120"/>
      </w:pPr>
      <w:r>
        <w:rPr>
          <w:rFonts w:ascii="Calibri" w:cs="Calibri" w:eastAsia="Calibri" w:hAnsi="Calibri"/>
          <w:color w:val="1e293b"/>
          <w:sz w:val="22"/>
          <w:szCs w:val="22"/>
        </w:rPr>
        <w:t xml:space="preserve">Summary dashboard with risk statistics and analytics. View total risks, status breakdown, risk by strategy, risk by rating, and risk by category through interactive charts.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Summary metrics: total risks, status breakdown</w:t>
      </w:r>
    </w:p>
    <w:p>
      <w:pPr>
        <w:pStyle w:val="ListParagraph"/>
        <w:numPr>
          <w:ilvl w:val="0"/>
          <w:numId w:val="1"/>
        </w:numPr>
        <w:spacing w:after="60"/>
      </w:pPr>
      <w:r>
        <w:rPr>
          <w:rFonts w:ascii="Calibri" w:cs="Calibri" w:eastAsia="Calibri" w:hAnsi="Calibri"/>
          <w:color w:val="1e293b"/>
          <w:sz w:val="22"/>
          <w:szCs w:val="22"/>
        </w:rPr>
        <w:t xml:space="preserve">Risk by status chart</w:t>
      </w:r>
    </w:p>
    <w:p>
      <w:pPr>
        <w:pStyle w:val="ListParagraph"/>
        <w:numPr>
          <w:ilvl w:val="0"/>
          <w:numId w:val="1"/>
        </w:numPr>
        <w:spacing w:after="60"/>
      </w:pPr>
      <w:r>
        <w:rPr>
          <w:rFonts w:ascii="Calibri" w:cs="Calibri" w:eastAsia="Calibri" w:hAnsi="Calibri"/>
          <w:color w:val="1e293b"/>
          <w:sz w:val="22"/>
          <w:szCs w:val="22"/>
        </w:rPr>
        <w:t xml:space="preserve">Risk by strategy chart (Mitigate, Accept, Transfer, Avoid)</w:t>
      </w:r>
    </w:p>
    <w:p>
      <w:pPr>
        <w:pStyle w:val="ListParagraph"/>
        <w:numPr>
          <w:ilvl w:val="0"/>
          <w:numId w:val="1"/>
        </w:numPr>
        <w:spacing w:after="60"/>
      </w:pPr>
      <w:r>
        <w:rPr>
          <w:rFonts w:ascii="Calibri" w:cs="Calibri" w:eastAsia="Calibri" w:hAnsi="Calibri"/>
          <w:color w:val="1e293b"/>
          <w:sz w:val="22"/>
          <w:szCs w:val="22"/>
        </w:rPr>
        <w:t xml:space="preserve">Risk by rating chart</w:t>
      </w:r>
    </w:p>
    <w:p>
      <w:pPr>
        <w:pStyle w:val="ListParagraph"/>
        <w:numPr>
          <w:ilvl w:val="0"/>
          <w:numId w:val="1"/>
        </w:numPr>
        <w:spacing w:after="60"/>
      </w:pPr>
      <w:r>
        <w:rPr>
          <w:rFonts w:ascii="Calibri" w:cs="Calibri" w:eastAsia="Calibri" w:hAnsi="Calibri"/>
          <w:color w:val="1e293b"/>
          <w:sz w:val="22"/>
          <w:szCs w:val="22"/>
        </w:rPr>
        <w:t xml:space="preserve">Risk by category chart</w:t>
      </w:r>
    </w:p>
    <w:p>
      <w:pPr>
        <w:pStyle w:val="ListParagraph"/>
        <w:numPr>
          <w:ilvl w:val="0"/>
          <w:numId w:val="1"/>
        </w:numPr>
        <w:spacing w:after="60"/>
      </w:pPr>
      <w:r>
        <w:rPr>
          <w:rFonts w:ascii="Calibri" w:cs="Calibri" w:eastAsia="Calibri" w:hAnsi="Calibri"/>
          <w:color w:val="1e293b"/>
          <w:sz w:val="22"/>
          <w:szCs w:val="22"/>
        </w:rPr>
        <w:t xml:space="preserve">Real-time statistics</w:t>
      </w:r>
    </w:p>
    <w:p>
      <w:pPr>
        <w:pStyle w:val="ListParagraph"/>
        <w:numPr>
          <w:ilvl w:val="0"/>
          <w:numId w:val="1"/>
        </w:numPr>
        <w:spacing w:after="60"/>
      </w:pPr>
      <w:r>
        <w:rPr>
          <w:rFonts w:ascii="Calibri" w:cs="Calibri" w:eastAsia="Calibri" w:hAnsi="Calibri"/>
          <w:color w:val="1e293b"/>
          <w:sz w:val="22"/>
          <w:szCs w:val="22"/>
        </w:rPr>
        <w:t xml:space="preserve">Translated category names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Dashboard</w:t>
      </w:r>
    </w:p>
    <w:p>
      <w:pPr>
        <w:spacing w:after="200"/>
      </w:pPr>
    </w:p>
    <w:p>
      <w:pPr>
        <w:pStyle w:val="Heading2"/>
        <w:spacing w:after="150" w:before="300"/>
      </w:pPr>
      <w:r>
        <w:rPr>
          <w:rFonts w:ascii="Calibri" w:cs="Calibri" w:eastAsia="Calibri" w:hAnsi="Calibri"/>
          <w:b/>
          <w:bCs/>
          <w:color w:val="1e293b"/>
          <w:sz w:val="28"/>
          <w:szCs w:val="28"/>
        </w:rPr>
        <w:t xml:space="preserve">Risk Register</w:t>
      </w:r>
    </w:p>
    <w:p>
      <w:pPr>
        <w:spacing w:after="120"/>
      </w:pPr>
      <w:r>
        <w:rPr>
          <w:rFonts w:ascii="Calibri" w:cs="Calibri" w:eastAsia="Calibri" w:hAnsi="Calibri"/>
          <w:color w:val="1e293b"/>
          <w:sz w:val="22"/>
          <w:szCs w:val="22"/>
        </w:rPr>
        <w:t xml:space="preserve">Central repository of all identified risks. Create, manage, and track risks with their inherent and residual ratings, owners, treatment status, and linkages to controls and processes.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Register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risks with severity indicators and status</w:t>
      </w:r>
    </w:p>
    <w:p>
      <w:pPr>
        <w:pStyle w:val="ListParagraph"/>
        <w:numPr>
          <w:ilvl w:val="0"/>
          <w:numId w:val="1"/>
        </w:numPr>
        <w:spacing w:after="60"/>
      </w:pPr>
      <w:r>
        <w:rPr>
          <w:rFonts w:ascii="Calibri" w:cs="Calibri" w:eastAsia="Calibri" w:hAnsi="Calibri"/>
          <w:color w:val="1e293b"/>
          <w:sz w:val="22"/>
          <w:szCs w:val="22"/>
        </w:rPr>
        <w:t xml:space="preserve">Create new risks (name, description, risk sources, category, type)</w:t>
      </w:r>
    </w:p>
    <w:p>
      <w:pPr>
        <w:pStyle w:val="ListParagraph"/>
        <w:numPr>
          <w:ilvl w:val="0"/>
          <w:numId w:val="1"/>
        </w:numPr>
        <w:spacing w:after="60"/>
      </w:pPr>
      <w:r>
        <w:rPr>
          <w:rFonts w:ascii="Calibri" w:cs="Calibri" w:eastAsia="Calibri" w:hAnsi="Calibri"/>
          <w:color w:val="1e293b"/>
          <w:sz w:val="22"/>
          <w:szCs w:val="22"/>
        </w:rPr>
        <w:t xml:space="preserve">Risk scoring: likelihood (1-5) × impact (1-5) = risk score</w:t>
      </w:r>
    </w:p>
    <w:p>
      <w:pPr>
        <w:pStyle w:val="ListParagraph"/>
        <w:numPr>
          <w:ilvl w:val="0"/>
          <w:numId w:val="1"/>
        </w:numPr>
        <w:spacing w:after="60"/>
      </w:pPr>
      <w:r>
        <w:rPr>
          <w:rFonts w:ascii="Calibri" w:cs="Calibri" w:eastAsia="Calibri" w:hAnsi="Calibri"/>
          <w:color w:val="1e293b"/>
          <w:sz w:val="22"/>
          <w:szCs w:val="22"/>
        </w:rPr>
        <w:t xml:space="preserve">Set inherent risk rating and residual risk rating</w:t>
      </w:r>
    </w:p>
    <w:p>
      <w:pPr>
        <w:pStyle w:val="ListParagraph"/>
        <w:numPr>
          <w:ilvl w:val="0"/>
          <w:numId w:val="1"/>
        </w:numPr>
        <w:spacing w:after="60"/>
      </w:pPr>
      <w:r>
        <w:rPr>
          <w:rFonts w:ascii="Calibri" w:cs="Calibri" w:eastAsia="Calibri" w:hAnsi="Calibri"/>
          <w:color w:val="1e293b"/>
          <w:sz w:val="22"/>
          <w:szCs w:val="22"/>
        </w:rPr>
        <w:t xml:space="preserve">Assign risk owners with contact info and department</w:t>
      </w:r>
    </w:p>
    <w:p>
      <w:pPr>
        <w:pStyle w:val="ListParagraph"/>
        <w:numPr>
          <w:ilvl w:val="0"/>
          <w:numId w:val="1"/>
        </w:numPr>
        <w:spacing w:after="60"/>
      </w:pPr>
      <w:r>
        <w:rPr>
          <w:rFonts w:ascii="Calibri" w:cs="Calibri" w:eastAsia="Calibri" w:hAnsi="Calibri"/>
          <w:color w:val="1e293b"/>
          <w:sz w:val="22"/>
          <w:szCs w:val="22"/>
        </w:rPr>
        <w:t xml:space="preserve">Categorize: Strategic, Operational, Financial, Compliance, Technology</w:t>
      </w:r>
    </w:p>
    <w:p>
      <w:pPr>
        <w:pStyle w:val="ListParagraph"/>
        <w:numPr>
          <w:ilvl w:val="0"/>
          <w:numId w:val="1"/>
        </w:numPr>
        <w:spacing w:after="60"/>
      </w:pPr>
      <w:r>
        <w:rPr>
          <w:rFonts w:ascii="Calibri" w:cs="Calibri" w:eastAsia="Calibri" w:hAnsi="Calibri"/>
          <w:color w:val="1e293b"/>
          <w:sz w:val="22"/>
          <w:szCs w:val="22"/>
        </w:rPr>
        <w:t xml:space="preserve">Status tracking: open, in-progress, completed, mitigate, accept, transfer, avoid</w:t>
      </w:r>
    </w:p>
    <w:p>
      <w:pPr>
        <w:pStyle w:val="ListParagraph"/>
        <w:numPr>
          <w:ilvl w:val="0"/>
          <w:numId w:val="1"/>
        </w:numPr>
        <w:spacing w:after="60"/>
      </w:pPr>
      <w:r>
        <w:rPr>
          <w:rFonts w:ascii="Calibri" w:cs="Calibri" w:eastAsia="Calibri" w:hAnsi="Calibri"/>
          <w:color w:val="1e293b"/>
          <w:sz w:val="22"/>
          <w:szCs w:val="22"/>
        </w:rPr>
        <w:t xml:space="preserve">Rating badges with color coding</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AI-powered risk suggestions</w:t>
      </w:r>
    </w:p>
    <w:p>
      <w:pPr>
        <w:pStyle w:val="ListParagraph"/>
        <w:numPr>
          <w:ilvl w:val="0"/>
          <w:numId w:val="1"/>
        </w:numPr>
        <w:spacing w:after="60"/>
      </w:pPr>
      <w:r>
        <w:rPr>
          <w:rFonts w:ascii="Calibri" w:cs="Calibri" w:eastAsia="Calibri" w:hAnsi="Calibri"/>
          <w:color w:val="1e293b"/>
          <w:sz w:val="22"/>
          <w:szCs w:val="22"/>
        </w:rPr>
        <w:t xml:space="preserve">Link risks to controls and processes</w:t>
      </w:r>
    </w:p>
    <w:p>
      <w:pPr>
        <w:pStyle w:val="ListParagraph"/>
        <w:numPr>
          <w:ilvl w:val="0"/>
          <w:numId w:val="1"/>
        </w:numPr>
        <w:spacing w:after="60"/>
      </w:pPr>
      <w:r>
        <w:rPr>
          <w:rFonts w:ascii="Calibri" w:cs="Calibri" w:eastAsia="Calibri" w:hAnsi="Calibri"/>
          <w:color w:val="1e293b"/>
          <w:sz w:val="22"/>
          <w:szCs w:val="22"/>
        </w:rPr>
        <w:t xml:space="preserve">View risk details with full history</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Delete risks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Register</w:t>
      </w:r>
    </w:p>
    <w:p>
      <w:pPr>
        <w:spacing w:after="200"/>
      </w:pPr>
    </w:p>
    <w:p>
      <w:pPr>
        <w:pStyle w:val="Heading2"/>
        <w:spacing w:after="150" w:before="300"/>
      </w:pPr>
      <w:r>
        <w:rPr>
          <w:rFonts w:ascii="Calibri" w:cs="Calibri" w:eastAsia="Calibri" w:hAnsi="Calibri"/>
          <w:b/>
          <w:bCs/>
          <w:color w:val="1e293b"/>
          <w:sz w:val="28"/>
          <w:szCs w:val="28"/>
        </w:rPr>
        <w:t xml:space="preserve">Risk Assessment</w:t>
      </w:r>
    </w:p>
    <w:p>
      <w:pPr>
        <w:spacing w:after="120"/>
      </w:pPr>
      <w:r>
        <w:rPr>
          <w:rFonts w:ascii="Calibri" w:cs="Calibri" w:eastAsia="Calibri" w:hAnsi="Calibri"/>
          <w:color w:val="1e293b"/>
          <w:sz w:val="22"/>
          <w:szCs w:val="22"/>
        </w:rPr>
        <w:t xml:space="preserve">Perform detailed risk assessments using likelihood and impact matrices. Evaluate risks quantitatively and qualitatively with structured assessment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assessment matrix (5×5 likelihood vs impact)</w:t>
      </w:r>
    </w:p>
    <w:p>
      <w:pPr>
        <w:pStyle w:val="ListParagraph"/>
        <w:numPr>
          <w:ilvl w:val="0"/>
          <w:numId w:val="1"/>
        </w:numPr>
        <w:spacing w:after="60"/>
      </w:pPr>
      <w:r>
        <w:rPr>
          <w:rFonts w:ascii="Calibri" w:cs="Calibri" w:eastAsia="Calibri" w:hAnsi="Calibri"/>
          <w:color w:val="1e293b"/>
          <w:sz w:val="22"/>
          <w:szCs w:val="22"/>
        </w:rPr>
        <w:t xml:space="preserve">Define assessment criteria and scales</w:t>
      </w:r>
    </w:p>
    <w:p>
      <w:pPr>
        <w:pStyle w:val="ListParagraph"/>
        <w:numPr>
          <w:ilvl w:val="0"/>
          <w:numId w:val="1"/>
        </w:numPr>
        <w:spacing w:after="60"/>
      </w:pPr>
      <w:r>
        <w:rPr>
          <w:rFonts w:ascii="Calibri" w:cs="Calibri" w:eastAsia="Calibri" w:hAnsi="Calibri"/>
          <w:color w:val="1e293b"/>
          <w:sz w:val="22"/>
          <w:szCs w:val="22"/>
        </w:rPr>
        <w:t xml:space="preserve">Perform inherent risk assessment</w:t>
      </w:r>
    </w:p>
    <w:p>
      <w:pPr>
        <w:pStyle w:val="ListParagraph"/>
        <w:numPr>
          <w:ilvl w:val="0"/>
          <w:numId w:val="1"/>
        </w:numPr>
        <w:spacing w:after="60"/>
      </w:pPr>
      <w:r>
        <w:rPr>
          <w:rFonts w:ascii="Calibri" w:cs="Calibri" w:eastAsia="Calibri" w:hAnsi="Calibri"/>
          <w:color w:val="1e293b"/>
          <w:sz w:val="22"/>
          <w:szCs w:val="22"/>
        </w:rPr>
        <w:t xml:space="preserve">Perform residual risk assessment (after controls)</w:t>
      </w:r>
    </w:p>
    <w:p>
      <w:pPr>
        <w:pStyle w:val="ListParagraph"/>
        <w:numPr>
          <w:ilvl w:val="0"/>
          <w:numId w:val="1"/>
        </w:numPr>
        <w:spacing w:after="60"/>
      </w:pPr>
      <w:r>
        <w:rPr>
          <w:rFonts w:ascii="Calibri" w:cs="Calibri" w:eastAsia="Calibri" w:hAnsi="Calibri"/>
          <w:color w:val="1e293b"/>
          <w:sz w:val="22"/>
          <w:szCs w:val="22"/>
        </w:rPr>
        <w:t xml:space="preserve">Document assessment rationale</w:t>
      </w:r>
    </w:p>
    <w:p>
      <w:pPr>
        <w:pStyle w:val="ListParagraph"/>
        <w:numPr>
          <w:ilvl w:val="0"/>
          <w:numId w:val="1"/>
        </w:numPr>
        <w:spacing w:after="60"/>
      </w:pPr>
      <w:r>
        <w:rPr>
          <w:rFonts w:ascii="Calibri" w:cs="Calibri" w:eastAsia="Calibri" w:hAnsi="Calibri"/>
          <w:color w:val="1e293b"/>
          <w:sz w:val="22"/>
          <w:szCs w:val="22"/>
        </w:rPr>
        <w:t xml:space="preserve">Compare inherent vs residual risk levels</w:t>
      </w:r>
    </w:p>
    <w:p>
      <w:pPr>
        <w:pStyle w:val="ListParagraph"/>
        <w:numPr>
          <w:ilvl w:val="0"/>
          <w:numId w:val="1"/>
        </w:numPr>
        <w:spacing w:after="60"/>
      </w:pPr>
      <w:r>
        <w:rPr>
          <w:rFonts w:ascii="Calibri" w:cs="Calibri" w:eastAsia="Calibri" w:hAnsi="Calibri"/>
          <w:color w:val="1e293b"/>
          <w:sz w:val="22"/>
          <w:szCs w:val="22"/>
        </w:rPr>
        <w:t xml:space="preserve">Risk heatmap visualization</w:t>
      </w:r>
    </w:p>
    <w:p>
      <w:pPr>
        <w:pStyle w:val="ListParagraph"/>
        <w:numPr>
          <w:ilvl w:val="0"/>
          <w:numId w:val="1"/>
        </w:numPr>
        <w:spacing w:after="60"/>
      </w:pPr>
      <w:r>
        <w:rPr>
          <w:rFonts w:ascii="Calibri" w:cs="Calibri" w:eastAsia="Calibri" w:hAnsi="Calibri"/>
          <w:color w:val="1e293b"/>
          <w:sz w:val="22"/>
          <w:szCs w:val="22"/>
        </w:rPr>
        <w:t xml:space="preserve">Assessment status tracking (draft, submitted, approved, rejected, in-progress)</w:t>
      </w:r>
    </w:p>
    <w:p>
      <w:pPr>
        <w:pStyle w:val="ListParagraph"/>
        <w:numPr>
          <w:ilvl w:val="0"/>
          <w:numId w:val="1"/>
        </w:numPr>
        <w:spacing w:after="60"/>
      </w:pPr>
      <w:r>
        <w:rPr>
          <w:rFonts w:ascii="Calibri" w:cs="Calibri" w:eastAsia="Calibri" w:hAnsi="Calibri"/>
          <w:color w:val="1e293b"/>
          <w:sz w:val="22"/>
          <w:szCs w:val="22"/>
        </w:rPr>
        <w:t xml:space="preserve">Threat and vulnerability mapping</w:t>
      </w:r>
    </w:p>
    <w:p>
      <w:pPr>
        <w:pStyle w:val="ListParagraph"/>
        <w:numPr>
          <w:ilvl w:val="0"/>
          <w:numId w:val="1"/>
        </w:numPr>
        <w:spacing w:after="60"/>
      </w:pPr>
      <w:r>
        <w:rPr>
          <w:rFonts w:ascii="Calibri" w:cs="Calibri" w:eastAsia="Calibri" w:hAnsi="Calibri"/>
          <w:color w:val="1e293b"/>
          <w:sz w:val="22"/>
          <w:szCs w:val="22"/>
        </w:rPr>
        <w:t xml:space="preserve">Assessment wizard for structured input</w:t>
      </w:r>
    </w:p>
    <w:p>
      <w:pPr>
        <w:pStyle w:val="ListParagraph"/>
        <w:numPr>
          <w:ilvl w:val="0"/>
          <w:numId w:val="1"/>
        </w:numPr>
        <w:spacing w:after="60"/>
      </w:pPr>
      <w:r>
        <w:rPr>
          <w:rFonts w:ascii="Calibri" w:cs="Calibri" w:eastAsia="Calibri" w:hAnsi="Calibri"/>
          <w:color w:val="1e293b"/>
          <w:sz w:val="22"/>
          <w:szCs w:val="22"/>
        </w:rPr>
        <w:t xml:space="preserve">Department-scoped assessment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Assessment</w:t>
      </w:r>
    </w:p>
    <w:p>
      <w:pPr>
        <w:spacing w:after="200"/>
      </w:pPr>
    </w:p>
    <w:p>
      <w:pPr>
        <w:pStyle w:val="Heading2"/>
        <w:spacing w:after="150" w:before="300"/>
      </w:pPr>
      <w:r>
        <w:rPr>
          <w:rFonts w:ascii="Calibri" w:cs="Calibri" w:eastAsia="Calibri" w:hAnsi="Calibri"/>
          <w:b/>
          <w:bCs/>
          <w:color w:val="1e293b"/>
          <w:sz w:val="28"/>
          <w:szCs w:val="28"/>
        </w:rPr>
        <w:t xml:space="preserve">Risk Response</w:t>
      </w:r>
    </w:p>
    <w:p>
      <w:pPr>
        <w:spacing w:after="120"/>
      </w:pPr>
      <w:r>
        <w:rPr>
          <w:rFonts w:ascii="Calibri" w:cs="Calibri" w:eastAsia="Calibri" w:hAnsi="Calibri"/>
          <w:color w:val="1e293b"/>
          <w:sz w:val="22"/>
          <w:szCs w:val="22"/>
        </w:rPr>
        <w:t xml:space="preserve">Plan and track risk treatment actions. Define mitigation strategies, assign responsibilities, and monitor implementation.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Response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risks requiring response/treatment</w:t>
      </w:r>
    </w:p>
    <w:p>
      <w:pPr>
        <w:pStyle w:val="ListParagraph"/>
        <w:numPr>
          <w:ilvl w:val="0"/>
          <w:numId w:val="1"/>
        </w:numPr>
        <w:spacing w:after="60"/>
      </w:pPr>
      <w:r>
        <w:rPr>
          <w:rFonts w:ascii="Calibri" w:cs="Calibri" w:eastAsia="Calibri" w:hAnsi="Calibri"/>
          <w:color w:val="1e293b"/>
          <w:sz w:val="22"/>
          <w:szCs w:val="22"/>
        </w:rPr>
        <w:t xml:space="preserve">Define response strategy (Mitigate, Accept, Transfer, Avoid)</w:t>
      </w:r>
    </w:p>
    <w:p>
      <w:pPr>
        <w:pStyle w:val="ListParagraph"/>
        <w:numPr>
          <w:ilvl w:val="0"/>
          <w:numId w:val="1"/>
        </w:numPr>
        <w:spacing w:after="60"/>
      </w:pPr>
      <w:r>
        <w:rPr>
          <w:rFonts w:ascii="Calibri" w:cs="Calibri" w:eastAsia="Calibri" w:hAnsi="Calibri"/>
          <w:color w:val="1e293b"/>
          <w:sz w:val="22"/>
          <w:szCs w:val="22"/>
        </w:rPr>
        <w:t xml:space="preserve">Create treatment action plans with due dates</w:t>
      </w:r>
    </w:p>
    <w:p>
      <w:pPr>
        <w:pStyle w:val="ListParagraph"/>
        <w:numPr>
          <w:ilvl w:val="0"/>
          <w:numId w:val="1"/>
        </w:numPr>
        <w:spacing w:after="60"/>
      </w:pPr>
      <w:r>
        <w:rPr>
          <w:rFonts w:ascii="Calibri" w:cs="Calibri" w:eastAsia="Calibri" w:hAnsi="Calibri"/>
          <w:color w:val="1e293b"/>
          <w:sz w:val="22"/>
          <w:szCs w:val="22"/>
        </w:rPr>
        <w:t xml:space="preserve">Assign action owners and due dates</w:t>
      </w:r>
    </w:p>
    <w:p>
      <w:pPr>
        <w:pStyle w:val="ListParagraph"/>
        <w:numPr>
          <w:ilvl w:val="0"/>
          <w:numId w:val="1"/>
        </w:numPr>
        <w:spacing w:after="60"/>
      </w:pPr>
      <w:r>
        <w:rPr>
          <w:rFonts w:ascii="Calibri" w:cs="Calibri" w:eastAsia="Calibri" w:hAnsi="Calibri"/>
          <w:color w:val="1e293b"/>
          <w:sz w:val="22"/>
          <w:szCs w:val="22"/>
        </w:rPr>
        <w:t xml:space="preserve">Track action implementation status (open, in-progress, completed)</w:t>
      </w:r>
    </w:p>
    <w:p>
      <w:pPr>
        <w:pStyle w:val="ListParagraph"/>
        <w:numPr>
          <w:ilvl w:val="0"/>
          <w:numId w:val="1"/>
        </w:numPr>
        <w:spacing w:after="60"/>
      </w:pPr>
      <w:r>
        <w:rPr>
          <w:rFonts w:ascii="Calibri" w:cs="Calibri" w:eastAsia="Calibri" w:hAnsi="Calibri"/>
          <w:color w:val="1e293b"/>
          <w:sz w:val="22"/>
          <w:szCs w:val="22"/>
        </w:rPr>
        <w:t xml:space="preserve">Response progress tracking</w:t>
      </w:r>
    </w:p>
    <w:p>
      <w:pPr>
        <w:pStyle w:val="ListParagraph"/>
        <w:numPr>
          <w:ilvl w:val="0"/>
          <w:numId w:val="1"/>
        </w:numPr>
        <w:spacing w:after="60"/>
      </w:pPr>
      <w:r>
        <w:rPr>
          <w:rFonts w:ascii="Calibri" w:cs="Calibri" w:eastAsia="Calibri" w:hAnsi="Calibri"/>
          <w:color w:val="1e293b"/>
          <w:sz w:val="22"/>
          <w:szCs w:val="22"/>
        </w:rPr>
        <w:t xml:space="preserve">Document response effectiveness</w:t>
      </w:r>
    </w:p>
    <w:p>
      <w:pPr>
        <w:pStyle w:val="ListParagraph"/>
        <w:numPr>
          <w:ilvl w:val="0"/>
          <w:numId w:val="1"/>
        </w:numPr>
        <w:spacing w:after="60"/>
      </w:pPr>
      <w:r>
        <w:rPr>
          <w:rFonts w:ascii="Calibri" w:cs="Calibri" w:eastAsia="Calibri" w:hAnsi="Calibri"/>
          <w:color w:val="1e293b"/>
          <w:sz w:val="22"/>
          <w:szCs w:val="22"/>
        </w:rPr>
        <w:t xml:space="preserve">Department-scoped access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Response</w:t>
      </w:r>
    </w:p>
    <w:p>
      <w:pPr>
        <w:spacing w:after="200"/>
      </w:pPr>
    </w:p>
    <w:p>
      <w:pPr>
        <w:pStyle w:val="Heading2"/>
        <w:spacing w:after="150" w:before="300"/>
      </w:pPr>
      <w:r>
        <w:rPr>
          <w:rFonts w:ascii="Calibri" w:cs="Calibri" w:eastAsia="Calibri" w:hAnsi="Calibri"/>
          <w:b/>
          <w:bCs/>
          <w:color w:val="1e293b"/>
          <w:sz w:val="28"/>
          <w:szCs w:val="28"/>
        </w:rPr>
        <w:t xml:space="preserve">Risk Control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coverage gaps.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Control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Residual risk calculation</w:t>
      </w:r>
    </w:p>
    <w:p>
      <w:pPr>
        <w:pStyle w:val="ListParagraph"/>
        <w:numPr>
          <w:ilvl w:val="0"/>
          <w:numId w:val="1"/>
        </w:numPr>
        <w:spacing w:after="60"/>
      </w:pPr>
      <w:r>
        <w:rPr>
          <w:rFonts w:ascii="Calibri" w:cs="Calibri" w:eastAsia="Calibri" w:hAnsi="Calibri"/>
          <w:color w:val="1e293b"/>
          <w:sz w:val="22"/>
          <w:szCs w:val="22"/>
        </w:rPr>
        <w:t xml:space="preserve">Status indicators for each control-risk link</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Control Matrix</w:t>
      </w:r>
    </w:p>
    <w:p>
      <w:pPr>
        <w:spacing w:after="200"/>
      </w:pPr>
    </w:p>
    <w:p>
      <w:pPr>
        <w:pStyle w:val="Heading2"/>
        <w:spacing w:after="150" w:before="300"/>
      </w:pPr>
      <w:r>
        <w:rPr>
          <w:rFonts w:ascii="Calibri" w:cs="Calibri" w:eastAsia="Calibri" w:hAnsi="Calibri"/>
          <w:b/>
          <w:bCs/>
          <w:color w:val="1e293b"/>
          <w:sz w:val="28"/>
          <w:szCs w:val="28"/>
        </w:rPr>
        <w:t xml:space="preserve">Risk Settings</w:t>
      </w:r>
    </w:p>
    <w:p>
      <w:pPr>
        <w:spacing w:after="120"/>
      </w:pPr>
      <w:r>
        <w:rPr>
          <w:rFonts w:ascii="Calibri" w:cs="Calibri" w:eastAsia="Calibri" w:hAnsi="Calibri"/>
          <w:color w:val="1e293b"/>
          <w:sz w:val="22"/>
          <w:szCs w:val="22"/>
        </w:rPr>
        <w:t xml:space="preserve">Configure risk categories, types, thresholds, and rating matrix.</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category management</w:t>
      </w:r>
    </w:p>
    <w:p>
      <w:pPr>
        <w:pStyle w:val="ListParagraph"/>
        <w:numPr>
          <w:ilvl w:val="0"/>
          <w:numId w:val="1"/>
        </w:numPr>
        <w:spacing w:after="60"/>
      </w:pPr>
      <w:r>
        <w:rPr>
          <w:rFonts w:ascii="Calibri" w:cs="Calibri" w:eastAsia="Calibri" w:hAnsi="Calibri"/>
          <w:color w:val="1e293b"/>
          <w:sz w:val="22"/>
          <w:szCs w:val="22"/>
        </w:rPr>
        <w:t xml:space="preserve">Risk type definitions</w:t>
      </w:r>
    </w:p>
    <w:p>
      <w:pPr>
        <w:pStyle w:val="ListParagraph"/>
        <w:numPr>
          <w:ilvl w:val="0"/>
          <w:numId w:val="1"/>
        </w:numPr>
        <w:spacing w:after="60"/>
      </w:pPr>
      <w:r>
        <w:rPr>
          <w:rFonts w:ascii="Calibri" w:cs="Calibri" w:eastAsia="Calibri" w:hAnsi="Calibri"/>
          <w:color w:val="1e293b"/>
          <w:sz w:val="22"/>
          <w:szCs w:val="22"/>
        </w:rPr>
        <w:t xml:space="preserve">Risk rating matrix customization</w:t>
      </w:r>
    </w:p>
    <w:p>
      <w:pPr>
        <w:pStyle w:val="ListParagraph"/>
        <w:numPr>
          <w:ilvl w:val="0"/>
          <w:numId w:val="1"/>
        </w:numPr>
        <w:spacing w:after="60"/>
      </w:pPr>
      <w:r>
        <w:rPr>
          <w:rFonts w:ascii="Calibri" w:cs="Calibri" w:eastAsia="Calibri" w:hAnsi="Calibri"/>
          <w:color w:val="1e293b"/>
          <w:sz w:val="22"/>
          <w:szCs w:val="22"/>
        </w:rPr>
        <w:t xml:space="preserve">Threshold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Settings</w:t>
      </w:r>
    </w:p>
    <w:p>
      <w:pPr>
        <w:spacing w:after="200"/>
      </w:pPr>
    </w:p>
    <w:p>
      <w:pPr>
        <w:pStyle w:val="Heading2"/>
        <w:spacing w:after="150" w:before="300"/>
      </w:pPr>
      <w:r>
        <w:rPr>
          <w:rFonts w:ascii="Calibri" w:cs="Calibri" w:eastAsia="Calibri" w:hAnsi="Calibri"/>
          <w:b/>
          <w:bCs/>
          <w:color w:val="1e293b"/>
          <w:sz w:val="28"/>
          <w:szCs w:val="28"/>
        </w:rPr>
        <w:t xml:space="preserve">Risk Reports</w:t>
      </w:r>
    </w:p>
    <w:p>
      <w:pPr>
        <w:spacing w:after="120"/>
      </w:pPr>
      <w:r>
        <w:rPr>
          <w:rFonts w:ascii="Calibri" w:cs="Calibri" w:eastAsia="Calibri" w:hAnsi="Calibri"/>
          <w:color w:val="1e293b"/>
          <w:sz w:val="22"/>
          <w:szCs w:val="22"/>
        </w:rPr>
        <w:t xml:space="preserve">Generate risk reporting and analytics for management review.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metrics and trends</w:t>
      </w:r>
    </w:p>
    <w:p>
      <w:pPr>
        <w:pStyle w:val="ListParagraph"/>
        <w:numPr>
          <w:ilvl w:val="0"/>
          <w:numId w:val="1"/>
        </w:numPr>
        <w:spacing w:after="60"/>
      </w:pPr>
      <w:r>
        <w:rPr>
          <w:rFonts w:ascii="Calibri" w:cs="Calibri" w:eastAsia="Calibri" w:hAnsi="Calibri"/>
          <w:color w:val="1e293b"/>
          <w:sz w:val="22"/>
          <w:szCs w:val="22"/>
        </w:rPr>
        <w:t xml:space="preserve">Risk summary reports</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Asset Management</w:t>
      </w:r>
    </w:p>
    <w:p>
      <w:pPr>
        <w:spacing w:after="120"/>
      </w:pPr>
      <w:r>
        <w:rPr>
          <w:rFonts w:ascii="Calibri" w:cs="Calibri" w:eastAsia="Calibri" w:hAnsi="Calibri"/>
          <w:color w:val="1e293b"/>
          <w:sz w:val="22"/>
          <w:szCs w:val="22"/>
        </w:rPr>
        <w:t xml:space="preserve">Maintain an inventory of organizational assets and classify them according to their criticality and sensitivity (CIA). Assets can be linked to risks, controls, and processes.</w:t>
      </w:r>
    </w:p>
    <w:p>
      <w:pPr>
        <w:spacing w:after="200"/>
      </w:pPr>
    </w:p>
    <w:p>
      <w:pPr>
        <w:pStyle w:val="Heading2"/>
        <w:spacing w:after="150" w:before="300"/>
      </w:pPr>
      <w:r>
        <w:rPr>
          <w:rFonts w:ascii="Calibri" w:cs="Calibri" w:eastAsia="Calibri" w:hAnsi="Calibri"/>
          <w:b/>
          <w:bCs/>
          <w:color w:val="1e293b"/>
          <w:sz w:val="28"/>
          <w:szCs w:val="28"/>
        </w:rPr>
        <w:t xml:space="preserve">Asset Inventory</w:t>
      </w:r>
    </w:p>
    <w:p>
      <w:pPr>
        <w:spacing w:after="120"/>
      </w:pPr>
      <w:r>
        <w:rPr>
          <w:rFonts w:ascii="Calibri" w:cs="Calibri" w:eastAsia="Calibri" w:hAnsi="Calibri"/>
          <w:color w:val="1e293b"/>
          <w:sz w:val="22"/>
          <w:szCs w:val="22"/>
        </w:rPr>
        <w:t xml:space="preserve">Comprehensive inventory of all organizational assets including hardware, software, data, networks, personnel, and facilities.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Asset Inventory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assets with type, owner, classification, and status</w:t>
      </w:r>
    </w:p>
    <w:p>
      <w:pPr>
        <w:pStyle w:val="ListParagraph"/>
        <w:numPr>
          <w:ilvl w:val="0"/>
          <w:numId w:val="1"/>
        </w:numPr>
        <w:spacing w:after="60"/>
      </w:pPr>
      <w:r>
        <w:rPr>
          <w:rFonts w:ascii="Calibri" w:cs="Calibri" w:eastAsia="Calibri" w:hAnsi="Calibri"/>
          <w:color w:val="1e293b"/>
          <w:sz w:val="22"/>
          <w:szCs w:val="22"/>
        </w:rPr>
        <w:t xml:space="preserve">Create new assets (name, type, category, sub-category, group, owner, location)</w:t>
      </w:r>
    </w:p>
    <w:p>
      <w:pPr>
        <w:pStyle w:val="ListParagraph"/>
        <w:numPr>
          <w:ilvl w:val="0"/>
          <w:numId w:val="1"/>
        </w:numPr>
        <w:spacing w:after="60"/>
      </w:pPr>
      <w:r>
        <w:rPr>
          <w:rFonts w:ascii="Calibri" w:cs="Calibri" w:eastAsia="Calibri" w:hAnsi="Calibri"/>
          <w:color w:val="1e293b"/>
          <w:sz w:val="22"/>
          <w:szCs w:val="22"/>
        </w:rPr>
        <w:t xml:space="preserve">Asset types: Package, Server, Monitor, Database, Users, Building, Wrench</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Acquisition date tracking</w:t>
      </w:r>
    </w:p>
    <w:p>
      <w:pPr>
        <w:pStyle w:val="ListParagraph"/>
        <w:numPr>
          <w:ilvl w:val="0"/>
          <w:numId w:val="1"/>
        </w:numPr>
        <w:spacing w:after="60"/>
      </w:pPr>
      <w:r>
        <w:rPr>
          <w:rFonts w:ascii="Calibri" w:cs="Calibri" w:eastAsia="Calibri" w:hAnsi="Calibri"/>
          <w:color w:val="1e293b"/>
          <w:sz w:val="22"/>
          <w:szCs w:val="22"/>
        </w:rPr>
        <w:t xml:space="preserve">Status management</w:t>
      </w:r>
    </w:p>
    <w:p>
      <w:pPr>
        <w:pStyle w:val="ListParagraph"/>
        <w:numPr>
          <w:ilvl w:val="0"/>
          <w:numId w:val="1"/>
        </w:numPr>
        <w:spacing w:after="60"/>
      </w:pPr>
      <w:r>
        <w:rPr>
          <w:rFonts w:ascii="Calibri" w:cs="Calibri" w:eastAsia="Calibri" w:hAnsi="Calibri"/>
          <w:color w:val="1e293b"/>
          <w:sz w:val="22"/>
          <w:szCs w:val="22"/>
        </w:rPr>
        <w:t xml:space="preserve">Edit and delete assets</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Link assets to risks and processes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Inventory</w:t>
      </w:r>
    </w:p>
    <w:p>
      <w:pPr>
        <w:spacing w:after="200"/>
      </w:pPr>
    </w:p>
    <w:p>
      <w:pPr>
        <w:pStyle w:val="Heading2"/>
        <w:spacing w:after="150" w:before="300"/>
      </w:pPr>
      <w:r>
        <w:rPr>
          <w:rFonts w:ascii="Calibri" w:cs="Calibri" w:eastAsia="Calibri" w:hAnsi="Calibri"/>
          <w:b/>
          <w:bCs/>
          <w:color w:val="1e293b"/>
          <w:sz w:val="28"/>
          <w:szCs w:val="28"/>
        </w:rPr>
        <w:t xml:space="preserve">Asset Classification</w:t>
      </w:r>
    </w:p>
    <w:p>
      <w:pPr>
        <w:spacing w:after="120"/>
      </w:pPr>
      <w:r>
        <w:rPr>
          <w:rFonts w:ascii="Calibri" w:cs="Calibri" w:eastAsia="Calibri" w:hAnsi="Calibri"/>
          <w:color w:val="1e293b"/>
          <w:sz w:val="22"/>
          <w:szCs w:val="22"/>
        </w:rPr>
        <w:t xml:space="preserve">Classify assets based on confidentiality, integrity, and availability (CIA) requirements using a hierarchical classification system.</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Asset Classification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Classification hierarchy: Category → Sub-Category → Group</w:t>
      </w:r>
    </w:p>
    <w:p>
      <w:pPr>
        <w:pStyle w:val="ListParagraph"/>
        <w:numPr>
          <w:ilvl w:val="0"/>
          <w:numId w:val="1"/>
        </w:numPr>
        <w:spacing w:after="60"/>
      </w:pPr>
      <w:r>
        <w:rPr>
          <w:rFonts w:ascii="Calibri" w:cs="Calibri" w:eastAsia="Calibri" w:hAnsi="Calibri"/>
          <w:color w:val="1e293b"/>
          <w:sz w:val="22"/>
          <w:szCs w:val="22"/>
        </w:rPr>
        <w:t xml:space="preserve">Define classification levels (Public, Internal, Confidential, Restricted)</w:t>
      </w:r>
    </w:p>
    <w:p>
      <w:pPr>
        <w:pStyle w:val="ListParagraph"/>
        <w:numPr>
          <w:ilvl w:val="0"/>
          <w:numId w:val="1"/>
        </w:numPr>
        <w:spacing w:after="60"/>
      </w:pPr>
      <w:r>
        <w:rPr>
          <w:rFonts w:ascii="Calibri" w:cs="Calibri" w:eastAsia="Calibri" w:hAnsi="Calibri"/>
          <w:color w:val="1e293b"/>
          <w:sz w:val="22"/>
          <w:szCs w:val="22"/>
        </w:rPr>
        <w:t xml:space="preserve">Classify assets by CIA impact (Confidentiality, Integrity, Availability)</w:t>
      </w:r>
    </w:p>
    <w:p>
      <w:pPr>
        <w:pStyle w:val="ListParagraph"/>
        <w:numPr>
          <w:ilvl w:val="0"/>
          <w:numId w:val="1"/>
        </w:numPr>
        <w:spacing w:after="60"/>
      </w:pPr>
      <w:r>
        <w:rPr>
          <w:rFonts w:ascii="Calibri" w:cs="Calibri" w:eastAsia="Calibri" w:hAnsi="Calibri"/>
          <w:color w:val="1e293b"/>
          <w:sz w:val="22"/>
          <w:szCs w:val="22"/>
        </w:rPr>
        <w:t xml:space="preserve">Set handling and protection requirements per classification</w:t>
      </w:r>
    </w:p>
    <w:p>
      <w:pPr>
        <w:pStyle w:val="ListParagraph"/>
        <w:numPr>
          <w:ilvl w:val="0"/>
          <w:numId w:val="1"/>
        </w:numPr>
        <w:spacing w:after="60"/>
      </w:pPr>
      <w:r>
        <w:rPr>
          <w:rFonts w:ascii="Calibri" w:cs="Calibri" w:eastAsia="Calibri" w:hAnsi="Calibri"/>
          <w:color w:val="1e293b"/>
          <w:sz w:val="22"/>
          <w:szCs w:val="22"/>
        </w:rPr>
        <w:t xml:space="preserve">Asset grouping and organization</w:t>
      </w:r>
    </w:p>
    <w:p>
      <w:pPr>
        <w:pStyle w:val="ListParagraph"/>
        <w:numPr>
          <w:ilvl w:val="0"/>
          <w:numId w:val="1"/>
        </w:numPr>
        <w:spacing w:after="60"/>
      </w:pPr>
      <w:r>
        <w:rPr>
          <w:rFonts w:ascii="Calibri" w:cs="Calibri" w:eastAsia="Calibri" w:hAnsi="Calibri"/>
          <w:color w:val="1e293b"/>
          <w:sz w:val="22"/>
          <w:szCs w:val="22"/>
        </w:rPr>
        <w:t xml:space="preserve">Create, edit, delete classifications</w:t>
      </w:r>
    </w:p>
    <w:p>
      <w:pPr>
        <w:pStyle w:val="ListParagraph"/>
        <w:numPr>
          <w:ilvl w:val="0"/>
          <w:numId w:val="1"/>
        </w:numPr>
        <w:spacing w:after="60"/>
      </w:pPr>
      <w:r>
        <w:rPr>
          <w:rFonts w:ascii="Calibri" w:cs="Calibri" w:eastAsia="Calibri" w:hAnsi="Calibri"/>
          <w:color w:val="1e293b"/>
          <w:sz w:val="22"/>
          <w:szCs w:val="22"/>
        </w:rPr>
        <w:t xml:space="preserve">View hierarchy</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Classification</w:t>
      </w:r>
    </w:p>
    <w:p>
      <w:pPr>
        <w:spacing w:after="200"/>
      </w:pPr>
    </w:p>
    <w:p>
      <w:pPr>
        <w:pStyle w:val="Heading2"/>
        <w:spacing w:after="150" w:before="300"/>
      </w:pPr>
      <w:r>
        <w:rPr>
          <w:rFonts w:ascii="Calibri" w:cs="Calibri" w:eastAsia="Calibri" w:hAnsi="Calibri"/>
          <w:b/>
          <w:bCs/>
          <w:color w:val="1e293b"/>
          <w:sz w:val="28"/>
          <w:szCs w:val="28"/>
        </w:rPr>
        <w:t xml:space="preserve">Asset Settings</w:t>
      </w:r>
    </w:p>
    <w:p>
      <w:pPr>
        <w:spacing w:after="120"/>
      </w:pPr>
      <w:r>
        <w:rPr>
          <w:rFonts w:ascii="Calibri" w:cs="Calibri" w:eastAsia="Calibri" w:hAnsi="Calibri"/>
          <w:color w:val="1e293b"/>
          <w:sz w:val="22"/>
          <w:szCs w:val="22"/>
        </w:rPr>
        <w:t xml:space="preserve">Configure asset types, classifications, and master data setup.</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Asset type configuration</w:t>
      </w:r>
    </w:p>
    <w:p>
      <w:pPr>
        <w:pStyle w:val="ListParagraph"/>
        <w:numPr>
          <w:ilvl w:val="0"/>
          <w:numId w:val="1"/>
        </w:numPr>
        <w:spacing w:after="60"/>
      </w:pPr>
      <w:r>
        <w:rPr>
          <w:rFonts w:ascii="Calibri" w:cs="Calibri" w:eastAsia="Calibri" w:hAnsi="Calibri"/>
          <w:color w:val="1e293b"/>
          <w:sz w:val="22"/>
          <w:szCs w:val="22"/>
        </w:rPr>
        <w:t xml:space="preserve">Classification level definitions</w:t>
      </w:r>
    </w:p>
    <w:p>
      <w:pPr>
        <w:pStyle w:val="ListParagraph"/>
        <w:numPr>
          <w:ilvl w:val="0"/>
          <w:numId w:val="1"/>
        </w:numPr>
        <w:spacing w:after="60"/>
      </w:pPr>
      <w:r>
        <w:rPr>
          <w:rFonts w:ascii="Calibri" w:cs="Calibri" w:eastAsia="Calibri" w:hAnsi="Calibri"/>
          <w:color w:val="1e293b"/>
          <w:sz w:val="22"/>
          <w:szCs w:val="22"/>
        </w:rPr>
        <w:t xml:space="preserve">Master data setup</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Settings</w:t>
      </w:r>
    </w:p>
    <w:p>
      <w:pPr>
        <w:spacing w:after="200"/>
      </w:pPr>
    </w:p>
    <w:p>
      <w:pPr>
        <w:pStyle w:val="Heading2"/>
        <w:spacing w:after="150" w:before="300"/>
      </w:pPr>
      <w:r>
        <w:rPr>
          <w:rFonts w:ascii="Calibri" w:cs="Calibri" w:eastAsia="Calibri" w:hAnsi="Calibri"/>
          <w:b/>
          <w:bCs/>
          <w:color w:val="1e293b"/>
          <w:sz w:val="28"/>
          <w:szCs w:val="28"/>
        </w:rPr>
        <w:t xml:space="preserve">Asset Reports</w:t>
      </w:r>
    </w:p>
    <w:p>
      <w:pPr>
        <w:spacing w:after="120"/>
      </w:pPr>
      <w:r>
        <w:rPr>
          <w:rFonts w:ascii="Calibri" w:cs="Calibri" w:eastAsia="Calibri" w:hAnsi="Calibri"/>
          <w:color w:val="1e293b"/>
          <w:sz w:val="22"/>
          <w:szCs w:val="22"/>
        </w:rPr>
        <w:t xml:space="preserve">Asset analytics and reporting including distribution by type and classification.</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Asset distribution by type/classification</w:t>
      </w:r>
    </w:p>
    <w:p>
      <w:pPr>
        <w:pStyle w:val="ListParagraph"/>
        <w:numPr>
          <w:ilvl w:val="0"/>
          <w:numId w:val="1"/>
        </w:numPr>
        <w:spacing w:after="60"/>
      </w:pPr>
      <w:r>
        <w:rPr>
          <w:rFonts w:ascii="Calibri" w:cs="Calibri" w:eastAsia="Calibri" w:hAnsi="Calibri"/>
          <w:color w:val="1e293b"/>
          <w:sz w:val="22"/>
          <w:szCs w:val="22"/>
        </w:rPr>
        <w:t xml:space="preserve">Asset analytics and reporting</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Permissions Reference</w:t>
      </w:r>
    </w:p>
    <w:p>
      <w:pPr>
        <w:spacing w:after="120"/>
      </w:pPr>
      <w:r>
        <w:rPr>
          <w:rFonts w:ascii="Calibri" w:cs="Calibri" w:eastAsia="Calibri" w:hAnsi="Calibri"/>
          <w:color w:val="1e293b"/>
          <w:sz w:val="22"/>
          <w:szCs w:val="22"/>
        </w:rPr>
        <w:t xml:space="preserve">Each role has specific permissions that determine what actions they can perform. The permission system uses a resource:action pattern.</w:t>
      </w:r>
    </w:p>
    <w:p>
      <w:pPr>
        <w:spacing w:after="200"/>
      </w:pPr>
    </w:p>
    <w:p>
      <w:pPr>
        <w:pStyle w:val="Heading2"/>
        <w:spacing w:after="150" w:before="300"/>
      </w:pPr>
      <w:r>
        <w:rPr>
          <w:rFonts w:ascii="Calibri" w:cs="Calibri" w:eastAsia="Calibri" w:hAnsi="Calibri"/>
          <w:b/>
          <w:bCs/>
          <w:color w:val="1e293b"/>
          <w:sz w:val="28"/>
          <w:szCs w:val="28"/>
        </w:rPr>
        <w:t xml:space="preserve">Actions</w:t>
      </w:r>
    </w:p>
    <w:p>
      <w:pPr>
        <w:pStyle w:val="ListParagraph"/>
        <w:numPr>
          <w:ilvl w:val="0"/>
          <w:numId w:val="1"/>
        </w:numPr>
        <w:spacing w:after="60"/>
      </w:pPr>
      <w:r>
        <w:rPr>
          <w:rFonts w:ascii="Calibri" w:cs="Calibri" w:eastAsia="Calibri" w:hAnsi="Calibri"/>
          <w:color w:val="1e293b"/>
          <w:sz w:val="22"/>
          <w:szCs w:val="22"/>
        </w:rPr>
        <w:t xml:space="preserve">view — Read-only access to see data</w:t>
      </w:r>
    </w:p>
    <w:p>
      <w:pPr>
        <w:pStyle w:val="ListParagraph"/>
        <w:numPr>
          <w:ilvl w:val="0"/>
          <w:numId w:val="1"/>
        </w:numPr>
        <w:spacing w:after="60"/>
      </w:pPr>
      <w:r>
        <w:rPr>
          <w:rFonts w:ascii="Calibri" w:cs="Calibri" w:eastAsia="Calibri" w:hAnsi="Calibri"/>
          <w:color w:val="1e293b"/>
          <w:sz w:val="22"/>
          <w:szCs w:val="22"/>
        </w:rPr>
        <w:t xml:space="preserve">create — Ability to create new records</w:t>
      </w:r>
    </w:p>
    <w:p>
      <w:pPr>
        <w:pStyle w:val="ListParagraph"/>
        <w:numPr>
          <w:ilvl w:val="0"/>
          <w:numId w:val="1"/>
        </w:numPr>
        <w:spacing w:after="60"/>
      </w:pPr>
      <w:r>
        <w:rPr>
          <w:rFonts w:ascii="Calibri" w:cs="Calibri" w:eastAsia="Calibri" w:hAnsi="Calibri"/>
          <w:color w:val="1e293b"/>
          <w:sz w:val="22"/>
          <w:szCs w:val="22"/>
        </w:rPr>
        <w:t xml:space="preserve">edit — Ability to modify existing records</w:t>
      </w:r>
    </w:p>
    <w:p>
      <w:pPr>
        <w:pStyle w:val="ListParagraph"/>
        <w:numPr>
          <w:ilvl w:val="0"/>
          <w:numId w:val="1"/>
        </w:numPr>
        <w:spacing w:after="60"/>
      </w:pPr>
      <w:r>
        <w:rPr>
          <w:rFonts w:ascii="Calibri" w:cs="Calibri" w:eastAsia="Calibri" w:hAnsi="Calibri"/>
          <w:color w:val="1e293b"/>
          <w:sz w:val="22"/>
          <w:szCs w:val="22"/>
        </w:rPr>
        <w:t xml:space="preserve">delete — Ability to remove records</w:t>
      </w:r>
    </w:p>
    <w:p>
      <w:pPr>
        <w:pStyle w:val="ListParagraph"/>
        <w:numPr>
          <w:ilvl w:val="0"/>
          <w:numId w:val="1"/>
        </w:numPr>
        <w:spacing w:after="60"/>
      </w:pPr>
      <w:r>
        <w:rPr>
          <w:rFonts w:ascii="Calibri" w:cs="Calibri" w:eastAsia="Calibri" w:hAnsi="Calibri"/>
          <w:color w:val="1e293b"/>
          <w:sz w:val="22"/>
          <w:szCs w:val="22"/>
        </w:rPr>
        <w:t xml:space="preserve">approve — Ability to approve/reject submissions</w:t>
      </w:r>
    </w:p>
    <w:p>
      <w:pPr>
        <w:spacing w:after="200"/>
      </w:pPr>
    </w:p>
    <w:p>
      <w:pPr>
        <w:pStyle w:val="Heading2"/>
        <w:spacing w:after="150" w:before="300"/>
      </w:pPr>
      <w:r>
        <w:rPr>
          <w:rFonts w:ascii="Calibri" w:cs="Calibri" w:eastAsia="Calibri" w:hAnsi="Calibri"/>
          <w:b/>
          <w:bCs/>
          <w:color w:val="1e293b"/>
          <w:sz w:val="28"/>
          <w:szCs w:val="28"/>
        </w:rPr>
        <w:t xml:space="preserve">Permission Scopes</w:t>
      </w:r>
    </w:p>
    <w:p>
      <w:pPr>
        <w:pStyle w:val="ListParagraph"/>
        <w:numPr>
          <w:ilvl w:val="0"/>
          <w:numId w:val="1"/>
        </w:numPr>
        <w:spacing w:after="60"/>
      </w:pPr>
      <w:r>
        <w:rPr>
          <w:rFonts w:ascii="Calibri" w:cs="Calibri" w:eastAsia="Calibri" w:hAnsi="Calibri"/>
          <w:color w:val="1e293b"/>
          <w:sz w:val="22"/>
          <w:szCs w:val="22"/>
        </w:rPr>
        <w:t xml:space="preserve">Global — Access to all records across the organization</w:t>
      </w:r>
    </w:p>
    <w:p>
      <w:pPr>
        <w:pStyle w:val="ListParagraph"/>
        <w:numPr>
          <w:ilvl w:val="0"/>
          <w:numId w:val="1"/>
        </w:numPr>
        <w:spacing w:after="60"/>
      </w:pPr>
      <w:r>
        <w:rPr>
          <w:rFonts w:ascii="Calibri" w:cs="Calibri" w:eastAsia="Calibri" w:hAnsi="Calibri"/>
          <w:color w:val="1e293b"/>
          <w:sz w:val="22"/>
          <w:szCs w:val="22"/>
        </w:rPr>
        <w:t xml:space="preserve">Department — Access limited to records within the user's department</w:t>
      </w:r>
    </w:p>
    <w:p>
      <w:pPr>
        <w:pStyle w:val="ListParagraph"/>
        <w:numPr>
          <w:ilvl w:val="0"/>
          <w:numId w:val="1"/>
        </w:numPr>
        <w:spacing w:after="60"/>
      </w:pPr>
      <w:r>
        <w:rPr>
          <w:rFonts w:ascii="Calibri" w:cs="Calibri" w:eastAsia="Calibri" w:hAnsi="Calibri"/>
          <w:color w:val="1e293b"/>
          <w:sz w:val="22"/>
          <w:szCs w:val="22"/>
        </w:rPr>
        <w:t xml:space="preserve">Own — Access limited to records owned by or assigned to the user</w:t>
      </w:r>
    </w:p>
    <w:p>
      <w:pPr>
        <w:spacing w:after="200"/>
      </w:pPr>
    </w:p>
    <w:p>
      <w:pPr>
        <w:pStyle w:val="Heading2"/>
        <w:spacing w:after="150" w:before="300"/>
      </w:pPr>
      <w:r>
        <w:rPr>
          <w:rFonts w:ascii="Calibri" w:cs="Calibri" w:eastAsia="Calibri" w:hAnsi="Calibri"/>
          <w:b/>
          <w:bCs/>
          <w:color w:val="1e293b"/>
          <w:sz w:val="28"/>
          <w:szCs w:val="28"/>
        </w:rPr>
        <w:t xml:space="preserve">How Permissions Work</w:t>
      </w:r>
    </w:p>
    <w:p>
      <w:pPr>
        <w:spacing w:after="120"/>
      </w:pPr>
      <w:r>
        <w:rPr>
          <w:rFonts w:ascii="Calibri" w:cs="Calibri" w:eastAsia="Calibri" w:hAnsi="Calibri"/>
          <w:color w:val="1e293b"/>
          <w:sz w:val="22"/>
          <w:szCs w:val="22"/>
        </w:rPr>
        <w:t xml:space="preserve">When you log in, your assigned role determines which sidebar menu items are visible and which actions you can perform on each page. If a menu item or button is not visible, it means your role does not have the required permission.</w:t>
      </w:r>
    </w:p>
    <w:p>
      <w:pPr>
        <w:spacing w:after="120"/>
      </w:pPr>
      <w:r>
        <w:rPr>
          <w:rFonts w:ascii="Calibri" w:cs="Calibri" w:eastAsia="Calibri" w:hAnsi="Calibri"/>
          <w:color w:val="1e293b"/>
          <w:sz w:val="22"/>
          <w:szCs w:val="22"/>
        </w:rPr>
        <w:t xml:space="preserve">Permissions are enforced at both the UI level (hiding unavailable options) and the API level (blocking unauthorized requests). This ensures data security regardless of how the application is accessed.</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Glossary</w:t>
      </w:r>
    </w:p>
    <w:p>
      <w:pPr>
        <w:pStyle w:val="Heading3"/>
        <w:spacing w:after="100" w:before="200"/>
      </w:pPr>
      <w:r>
        <w:rPr>
          <w:rFonts w:ascii="Calibri" w:cs="Calibri" w:eastAsia="Calibri" w:hAnsi="Calibri"/>
          <w:b/>
          <w:bCs/>
          <w:color w:val="2563eb"/>
          <w:sz w:val="24"/>
          <w:szCs w:val="24"/>
        </w:rPr>
        <w:t xml:space="preserve">GRC</w:t>
      </w:r>
    </w:p>
    <w:p>
      <w:pPr>
        <w:spacing w:after="120"/>
      </w:pPr>
      <w:r>
        <w:rPr>
          <w:rFonts w:ascii="Calibri" w:cs="Calibri" w:eastAsia="Calibri" w:hAnsi="Calibri"/>
          <w:color w:val="1e293b"/>
          <w:sz w:val="22"/>
          <w:szCs w:val="22"/>
        </w:rPr>
        <w:t xml:space="preserve">Governance, Risk, and Compliance — integrated approach to managing governance, risk management, and compliance activities across the organization.</w:t>
      </w:r>
    </w:p>
    <w:p>
      <w:pPr>
        <w:pStyle w:val="Heading3"/>
        <w:spacing w:after="100" w:before="200"/>
      </w:pPr>
      <w:r>
        <w:rPr>
          <w:rFonts w:ascii="Calibri" w:cs="Calibri" w:eastAsia="Calibri" w:hAnsi="Calibri"/>
          <w:b/>
          <w:bCs/>
          <w:color w:val="2563eb"/>
          <w:sz w:val="24"/>
          <w:szCs w:val="24"/>
        </w:rPr>
        <w:t xml:space="preserve">BIA</w:t>
      </w:r>
    </w:p>
    <w:p>
      <w:pPr>
        <w:spacing w:after="120"/>
      </w:pPr>
      <w:r>
        <w:rPr>
          <w:rFonts w:ascii="Calibri" w:cs="Calibri" w:eastAsia="Calibri" w:hAnsi="Calibri"/>
          <w:color w:val="1e293b"/>
          <w:sz w:val="22"/>
          <w:szCs w:val="22"/>
        </w:rPr>
        <w:t xml:space="preserve">Business Impact Analysis — process of determining critical business processes and the potential impact of disruption.</w:t>
      </w:r>
    </w:p>
    <w:p>
      <w:pPr>
        <w:pStyle w:val="Heading3"/>
        <w:spacing w:after="100" w:before="200"/>
      </w:pPr>
      <w:r>
        <w:rPr>
          <w:rFonts w:ascii="Calibri" w:cs="Calibri" w:eastAsia="Calibri" w:hAnsi="Calibri"/>
          <w:b/>
          <w:bCs/>
          <w:color w:val="2563eb"/>
          <w:sz w:val="24"/>
          <w:szCs w:val="24"/>
        </w:rPr>
        <w:t xml:space="preserve">RTO</w:t>
      </w:r>
    </w:p>
    <w:p>
      <w:pPr>
        <w:spacing w:after="120"/>
      </w:pPr>
      <w:r>
        <w:rPr>
          <w:rFonts w:ascii="Calibri" w:cs="Calibri" w:eastAsia="Calibri" w:hAnsi="Calibri"/>
          <w:color w:val="1e293b"/>
          <w:sz w:val="22"/>
          <w:szCs w:val="22"/>
        </w:rPr>
        <w:t xml:space="preserve">Recovery Time Objective — maximum acceptable time to restore a process after disruption.</w:t>
      </w:r>
    </w:p>
    <w:p>
      <w:pPr>
        <w:pStyle w:val="Heading3"/>
        <w:spacing w:after="100" w:before="200"/>
      </w:pPr>
      <w:r>
        <w:rPr>
          <w:rFonts w:ascii="Calibri" w:cs="Calibri" w:eastAsia="Calibri" w:hAnsi="Calibri"/>
          <w:b/>
          <w:bCs/>
          <w:color w:val="2563eb"/>
          <w:sz w:val="24"/>
          <w:szCs w:val="24"/>
        </w:rPr>
        <w:t xml:space="preserve">RPO</w:t>
      </w:r>
    </w:p>
    <w:p>
      <w:pPr>
        <w:spacing w:after="120"/>
      </w:pPr>
      <w:r>
        <w:rPr>
          <w:rFonts w:ascii="Calibri" w:cs="Calibri" w:eastAsia="Calibri" w:hAnsi="Calibri"/>
          <w:color w:val="1e293b"/>
          <w:sz w:val="22"/>
          <w:szCs w:val="22"/>
        </w:rPr>
        <w:t xml:space="preserve">Recovery Point Objective — maximum acceptable data loss measured in time.</w:t>
      </w:r>
    </w:p>
    <w:p>
      <w:pPr>
        <w:pStyle w:val="Heading3"/>
        <w:spacing w:after="100" w:before="200"/>
      </w:pPr>
      <w:r>
        <w:rPr>
          <w:rFonts w:ascii="Calibri" w:cs="Calibri" w:eastAsia="Calibri" w:hAnsi="Calibri"/>
          <w:b/>
          <w:bCs/>
          <w:color w:val="2563eb"/>
          <w:sz w:val="24"/>
          <w:szCs w:val="24"/>
        </w:rPr>
        <w:t xml:space="preserve">BCP</w:t>
      </w:r>
    </w:p>
    <w:p>
      <w:pPr>
        <w:spacing w:after="120"/>
      </w:pPr>
      <w:r>
        <w:rPr>
          <w:rFonts w:ascii="Calibri" w:cs="Calibri" w:eastAsia="Calibri" w:hAnsi="Calibri"/>
          <w:color w:val="1e293b"/>
          <w:sz w:val="22"/>
          <w:szCs w:val="22"/>
        </w:rPr>
        <w:t xml:space="preserve">Business Continuity Plan — documented procedures for maintaining business operations during and after a disaster.</w:t>
      </w:r>
    </w:p>
    <w:p>
      <w:pPr>
        <w:pStyle w:val="Heading3"/>
        <w:spacing w:after="100" w:before="200"/>
      </w:pPr>
      <w:r>
        <w:rPr>
          <w:rFonts w:ascii="Calibri" w:cs="Calibri" w:eastAsia="Calibri" w:hAnsi="Calibri"/>
          <w:b/>
          <w:bCs/>
          <w:color w:val="2563eb"/>
          <w:sz w:val="24"/>
          <w:szCs w:val="24"/>
        </w:rPr>
        <w:t xml:space="preserve">CAPA</w:t>
      </w:r>
    </w:p>
    <w:p>
      <w:pPr>
        <w:spacing w:after="120"/>
      </w:pPr>
      <w:r>
        <w:rPr>
          <w:rFonts w:ascii="Calibri" w:cs="Calibri" w:eastAsia="Calibri" w:hAnsi="Calibri"/>
          <w:color w:val="1e293b"/>
          <w:sz w:val="22"/>
          <w:szCs w:val="22"/>
        </w:rPr>
        <w:t xml:space="preserve">Corrective and Preventive Action — actions taken to eliminate the causes of non-conformities and prevent recurrence.</w:t>
      </w:r>
    </w:p>
    <w:p>
      <w:pPr>
        <w:pStyle w:val="Heading3"/>
        <w:spacing w:after="100" w:before="200"/>
      </w:pPr>
      <w:r>
        <w:rPr>
          <w:rFonts w:ascii="Calibri" w:cs="Calibri" w:eastAsia="Calibri" w:hAnsi="Calibri"/>
          <w:b/>
          <w:bCs/>
          <w:color w:val="2563eb"/>
          <w:sz w:val="24"/>
          <w:szCs w:val="24"/>
        </w:rPr>
        <w:t xml:space="preserve">CIA</w:t>
      </w:r>
    </w:p>
    <w:p>
      <w:pPr>
        <w:spacing w:after="120"/>
      </w:pPr>
      <w:r>
        <w:rPr>
          <w:rFonts w:ascii="Calibri" w:cs="Calibri" w:eastAsia="Calibri" w:hAnsi="Calibri"/>
          <w:color w:val="1e293b"/>
          <w:sz w:val="22"/>
          <w:szCs w:val="22"/>
        </w:rPr>
        <w:t xml:space="preserve">Confidentiality, Integrity, Availability — three pillars of information security used for asset classification.</w:t>
      </w:r>
    </w:p>
    <w:p>
      <w:pPr>
        <w:pStyle w:val="Heading3"/>
        <w:spacing w:after="100" w:before="200"/>
      </w:pPr>
      <w:r>
        <w:rPr>
          <w:rFonts w:ascii="Calibri" w:cs="Calibri" w:eastAsia="Calibri" w:hAnsi="Calibri"/>
          <w:b/>
          <w:bCs/>
          <w:color w:val="2563eb"/>
          <w:sz w:val="24"/>
          <w:szCs w:val="24"/>
        </w:rPr>
        <w:t xml:space="preserve">Control</w:t>
      </w:r>
    </w:p>
    <w:p>
      <w:pPr>
        <w:spacing w:after="120"/>
      </w:pPr>
      <w:r>
        <w:rPr>
          <w:rFonts w:ascii="Calibri" w:cs="Calibri" w:eastAsia="Calibri" w:hAnsi="Calibri"/>
          <w:color w:val="1e293b"/>
          <w:sz w:val="22"/>
          <w:szCs w:val="22"/>
        </w:rPr>
        <w:t xml:space="preserve">Measure that modifies risk — can be a policy, procedure, guideline, practice, or organizational structure.</w:t>
      </w:r>
    </w:p>
    <w:p>
      <w:pPr>
        <w:pStyle w:val="Heading3"/>
        <w:spacing w:after="100" w:before="200"/>
      </w:pPr>
      <w:r>
        <w:rPr>
          <w:rFonts w:ascii="Calibri" w:cs="Calibri" w:eastAsia="Calibri" w:hAnsi="Calibri"/>
          <w:b/>
          <w:bCs/>
          <w:color w:val="2563eb"/>
          <w:sz w:val="24"/>
          <w:szCs w:val="24"/>
        </w:rPr>
        <w:t xml:space="preserve">Finding</w:t>
      </w:r>
    </w:p>
    <w:p>
      <w:pPr>
        <w:spacing w:after="120"/>
      </w:pPr>
      <w:r>
        <w:rPr>
          <w:rFonts w:ascii="Calibri" w:cs="Calibri" w:eastAsia="Calibri" w:hAnsi="Calibri"/>
          <w:color w:val="1e293b"/>
          <w:sz w:val="22"/>
          <w:szCs w:val="22"/>
        </w:rPr>
        <w:t xml:space="preserve">Result of an audit that identifies a gap between the current state and the expected criteria.</w:t>
      </w:r>
    </w:p>
    <w:p>
      <w:pPr>
        <w:pStyle w:val="Heading3"/>
        <w:spacing w:after="100" w:before="200"/>
      </w:pPr>
      <w:r>
        <w:rPr>
          <w:rFonts w:ascii="Calibri" w:cs="Calibri" w:eastAsia="Calibri" w:hAnsi="Calibri"/>
          <w:b/>
          <w:bCs/>
          <w:color w:val="2563eb"/>
          <w:sz w:val="24"/>
          <w:szCs w:val="24"/>
        </w:rPr>
        <w:t xml:space="preserve">Risk Register</w:t>
      </w:r>
    </w:p>
    <w:p>
      <w:pPr>
        <w:spacing w:after="120"/>
      </w:pPr>
      <w:r>
        <w:rPr>
          <w:rFonts w:ascii="Calibri" w:cs="Calibri" w:eastAsia="Calibri" w:hAnsi="Calibri"/>
          <w:color w:val="1e293b"/>
          <w:sz w:val="22"/>
          <w:szCs w:val="22"/>
        </w:rPr>
        <w:t xml:space="preserve">Centralized record of identified risks with their analysis, treatment plans, and current status.</w:t>
      </w:r>
    </w:p>
    <w:p>
      <w:pPr>
        <w:pStyle w:val="Heading3"/>
        <w:spacing w:after="100" w:before="200"/>
      </w:pPr>
      <w:r>
        <w:rPr>
          <w:rFonts w:ascii="Calibri" w:cs="Calibri" w:eastAsia="Calibri" w:hAnsi="Calibri"/>
          <w:b/>
          <w:bCs/>
          <w:color w:val="2563eb"/>
          <w:sz w:val="24"/>
          <w:szCs w:val="24"/>
        </w:rPr>
        <w:t xml:space="preserve">Risk Matrix</w:t>
      </w:r>
    </w:p>
    <w:p>
      <w:pPr>
        <w:spacing w:after="120"/>
      </w:pPr>
      <w:r>
        <w:rPr>
          <w:rFonts w:ascii="Calibri" w:cs="Calibri" w:eastAsia="Calibri" w:hAnsi="Calibri"/>
          <w:color w:val="1e293b"/>
          <w:sz w:val="22"/>
          <w:szCs w:val="22"/>
        </w:rPr>
        <w:t xml:space="preserve">Visual tool mapping risks against controls to identify coverage and gaps.</w:t>
      </w:r>
    </w:p>
    <w:p>
      <w:pPr>
        <w:pStyle w:val="Heading3"/>
        <w:spacing w:after="100" w:before="200"/>
      </w:pPr>
      <w:r>
        <w:rPr>
          <w:rFonts w:ascii="Calibri" w:cs="Calibri" w:eastAsia="Calibri" w:hAnsi="Calibri"/>
          <w:b/>
          <w:bCs/>
          <w:color w:val="2563eb"/>
          <w:sz w:val="24"/>
          <w:szCs w:val="24"/>
        </w:rPr>
        <w:t xml:space="preserve">Framework</w:t>
      </w:r>
    </w:p>
    <w:p>
      <w:pPr>
        <w:spacing w:after="120"/>
      </w:pPr>
      <w:r>
        <w:rPr>
          <w:rFonts w:ascii="Calibri" w:cs="Calibri" w:eastAsia="Calibri" w:hAnsi="Calibri"/>
          <w:color w:val="1e293b"/>
          <w:sz w:val="22"/>
          <w:szCs w:val="22"/>
        </w:rPr>
        <w:t xml:space="preserve">Structured set of guidelines and best practices for managing compliance (e.g., ISO 27001, NIST, SOC 2, GDPR).</w:t>
      </w:r>
    </w:p>
    <w:p>
      <w:pPr>
        <w:pStyle w:val="Heading3"/>
        <w:spacing w:after="100" w:before="200"/>
      </w:pPr>
      <w:r>
        <w:rPr>
          <w:rFonts w:ascii="Calibri" w:cs="Calibri" w:eastAsia="Calibri" w:hAnsi="Calibri"/>
          <w:b/>
          <w:bCs/>
          <w:color w:val="2563eb"/>
          <w:sz w:val="24"/>
          <w:szCs w:val="24"/>
        </w:rPr>
        <w:t xml:space="preserve">Audit Universe</w:t>
      </w:r>
    </w:p>
    <w:p>
      <w:pPr>
        <w:spacing w:after="120"/>
      </w:pPr>
      <w:r>
        <w:rPr>
          <w:rFonts w:ascii="Calibri" w:cs="Calibri" w:eastAsia="Calibri" w:hAnsi="Calibri"/>
          <w:color w:val="1e293b"/>
          <w:sz w:val="22"/>
          <w:szCs w:val="22"/>
        </w:rPr>
        <w:t xml:space="preserve">Complete set of auditable entities, processes, and functions within the organization.</w:t>
      </w:r>
    </w:p>
    <w:p>
      <w:pPr>
        <w:pStyle w:val="Heading3"/>
        <w:spacing w:after="100" w:before="200"/>
      </w:pPr>
      <w:r>
        <w:rPr>
          <w:rFonts w:ascii="Calibri" w:cs="Calibri" w:eastAsia="Calibri" w:hAnsi="Calibri"/>
          <w:b/>
          <w:bCs/>
          <w:color w:val="2563eb"/>
          <w:sz w:val="24"/>
          <w:szCs w:val="24"/>
        </w:rPr>
        <w:t xml:space="preserve">Audit Engagement</w:t>
      </w:r>
    </w:p>
    <w:p>
      <w:pPr>
        <w:spacing w:after="120"/>
      </w:pPr>
      <w:r>
        <w:rPr>
          <w:rFonts w:ascii="Calibri" w:cs="Calibri" w:eastAsia="Calibri" w:hAnsi="Calibri"/>
          <w:color w:val="1e293b"/>
          <w:sz w:val="22"/>
          <w:szCs w:val="22"/>
        </w:rPr>
        <w:t xml:space="preserve">A planned and executed audit activity with defined scope, objectives, and team.</w:t>
      </w:r>
    </w:p>
    <w:p>
      <w:pPr>
        <w:pStyle w:val="Heading3"/>
        <w:spacing w:after="100" w:before="200"/>
      </w:pPr>
      <w:r>
        <w:rPr>
          <w:rFonts w:ascii="Calibri" w:cs="Calibri" w:eastAsia="Calibri" w:hAnsi="Calibri"/>
          <w:b/>
          <w:bCs/>
          <w:color w:val="2563eb"/>
          <w:sz w:val="24"/>
          <w:szCs w:val="24"/>
        </w:rPr>
        <w:t xml:space="preserve">Evidence</w:t>
      </w:r>
    </w:p>
    <w:p>
      <w:pPr>
        <w:spacing w:after="120"/>
      </w:pPr>
      <w:r>
        <w:rPr>
          <w:rFonts w:ascii="Calibri" w:cs="Calibri" w:eastAsia="Calibri" w:hAnsi="Calibri"/>
          <w:color w:val="1e293b"/>
          <w:sz w:val="22"/>
          <w:szCs w:val="22"/>
        </w:rPr>
        <w:t xml:space="preserve">Documentation, records, or artifacts that demonstrate compliance with controls and requirements.</w:t>
      </w:r>
    </w:p>
    <w:p>
      <w:pPr>
        <w:pStyle w:val="Heading3"/>
        <w:spacing w:after="100" w:before="200"/>
      </w:pPr>
      <w:r>
        <w:rPr>
          <w:rFonts w:ascii="Calibri" w:cs="Calibri" w:eastAsia="Calibri" w:hAnsi="Calibri"/>
          <w:b/>
          <w:bCs/>
          <w:color w:val="2563eb"/>
          <w:sz w:val="24"/>
          <w:szCs w:val="24"/>
        </w:rPr>
        <w:t xml:space="preserve">Exception</w:t>
      </w:r>
    </w:p>
    <w:p>
      <w:pPr>
        <w:spacing w:after="120"/>
      </w:pPr>
      <w:r>
        <w:rPr>
          <w:rFonts w:ascii="Calibri" w:cs="Calibri" w:eastAsia="Calibri" w:hAnsi="Calibri"/>
          <w:color w:val="1e293b"/>
          <w:sz w:val="22"/>
          <w:szCs w:val="22"/>
        </w:rPr>
        <w:t xml:space="preserve">Documented deviation from a control requirement, with justification and compensating controls.</w:t>
      </w:r>
    </w:p>
    <w:p>
      <w:pPr>
        <w:pStyle w:val="Heading3"/>
        <w:spacing w:after="100" w:before="200"/>
      </w:pPr>
      <w:r>
        <w:rPr>
          <w:rFonts w:ascii="Calibri" w:cs="Calibri" w:eastAsia="Calibri" w:hAnsi="Calibri"/>
          <w:b/>
          <w:bCs/>
          <w:color w:val="2563eb"/>
          <w:sz w:val="24"/>
          <w:szCs w:val="24"/>
        </w:rPr>
        <w:t xml:space="preserve">KPI</w:t>
      </w:r>
    </w:p>
    <w:p>
      <w:pPr>
        <w:spacing w:after="120"/>
      </w:pPr>
      <w:r>
        <w:rPr>
          <w:rFonts w:ascii="Calibri" w:cs="Calibri" w:eastAsia="Calibri" w:hAnsi="Calibri"/>
          <w:color w:val="1e293b"/>
          <w:sz w:val="22"/>
          <w:szCs w:val="22"/>
        </w:rPr>
        <w:t xml:space="preserve">Key Performance Indicator — measurable metric for tracking compliance program health.</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Confidential — Glimmora International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GRC DepartmentContributor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81cf96e110257a9ad3bd41976c6a481ea76b36.png"/><Relationship Id="rId10" Type="http://schemas.openxmlformats.org/officeDocument/2006/relationships/image" Target="media/b3d8e0252bd72585ef0b1b95f6f1b28d0836280f.png"/><Relationship Id="rId11" Type="http://schemas.openxmlformats.org/officeDocument/2006/relationships/image" Target="media/31169b06d474c827691f9b10f5e8d3a6449eca6e.png"/><Relationship Id="rId12" Type="http://schemas.openxmlformats.org/officeDocument/2006/relationships/image" Target="media/f7b1bb38509e95f7293b46b6e565bec677e188a6.png"/><Relationship Id="rId13" Type="http://schemas.openxmlformats.org/officeDocument/2006/relationships/image" Target="media/d78d88352e69e6e195140690ac23b116e196a037.png"/><Relationship Id="rId14" Type="http://schemas.openxmlformats.org/officeDocument/2006/relationships/image" Target="media/6d6cd128d86dd4ebc3d792f7d287114be3a87046.png"/><Relationship Id="rId15" Type="http://schemas.openxmlformats.org/officeDocument/2006/relationships/image" Target="media/f96074c1252ee792ae5e7c9baa1b2611f455fe36.png"/><Relationship Id="rId16" Type="http://schemas.openxmlformats.org/officeDocument/2006/relationships/image" Target="media/3bdf50203d7b35b405b0da76a3cb6a3ec51797c2.png"/><Relationship Id="rId17" Type="http://schemas.openxmlformats.org/officeDocument/2006/relationships/image" Target="media/41d65b07956e96124669558fc32964eef86e18ea.png"/><Relationship Id="rId18" Type="http://schemas.openxmlformats.org/officeDocument/2006/relationships/image" Target="media/7c7c43e69a0bf39f7e6b93c5adcf9ba72ce78dbd.png"/><Relationship Id="rId19" Type="http://schemas.openxmlformats.org/officeDocument/2006/relationships/image" Target="media/1de84be576567ac6b909a5f009438b7fd2a96646.png"/><Relationship Id="rId20" Type="http://schemas.openxmlformats.org/officeDocument/2006/relationships/image" Target="media/77dc2269f1a5fbb69e17019906712bfa36e9b538.png"/><Relationship Id="rId21" Type="http://schemas.openxmlformats.org/officeDocument/2006/relationships/image" Target="media/3cea66311b54c487981dce88c0100c13f3e581b7.png"/><Relationship Id="rId22" Type="http://schemas.openxmlformats.org/officeDocument/2006/relationships/image" Target="media/08e567de4b8b424677273f93962247bad0f3eb61.png"/><Relationship Id="rId23" Type="http://schemas.openxmlformats.org/officeDocument/2006/relationships/image" Target="media/c10822dde9d18fc0ad382d31a4ef023e8c2382c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2026-03-12T08:05:41.388Z</dcterms:created>
  <dcterms:modified xsi:type="dcterms:W3CDTF">2026-03-12T08:05:41.388Z</dcterms:modified>
</cp:coreProperties>
</file>

<file path=docProps/custom.xml><?xml version="1.0" encoding="utf-8"?>
<Properties xmlns="http://schemas.openxmlformats.org/officeDocument/2006/custom-properties" xmlns:vt="http://schemas.openxmlformats.org/officeDocument/2006/docPropsVTypes"/>
</file>