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GRC Administrator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GRC Administrator</w:t>
      </w:r>
    </w:p>
    <w:p>
      <w:pPr>
        <w:spacing w:after="120"/>
      </w:pPr>
      <w:r>
        <w:rPr>
          <w:rFonts w:ascii="Calibri" w:cs="Calibri" w:eastAsia="Calibri" w:hAnsi="Calibri"/>
          <w:color w:val="1e293b"/>
          <w:sz w:val="22"/>
          <w:szCs w:val="22"/>
        </w:rPr>
        <w:t xml:space="preserve">System-level administrator with full access to all GRC modules and system configuration. Manages customer accounts, system settings, and has unrestricted access to all functionality across all tenants.</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GRC Administration</w:t>
      </w:r>
    </w:p>
    <w:p>
      <w:pPr>
        <w:pStyle w:val="ListParagraph"/>
        <w:numPr>
          <w:ilvl w:val="0"/>
          <w:numId w:val="1"/>
        </w:numPr>
        <w:spacing w:after="60"/>
      </w:pPr>
      <w:r>
        <w:rPr>
          <w:rFonts w:ascii="Calibri" w:cs="Calibri" w:eastAsia="Calibri" w:hAnsi="Calibri"/>
          <w:color w:val="1e293b"/>
          <w:sz w:val="22"/>
          <w:szCs w:val="22"/>
        </w:rPr>
        <w:t xml:space="preserve">Organization</w:t>
      </w:r>
    </w:p>
    <w:p>
      <w:pPr>
        <w:pStyle w:val="ListParagraph"/>
        <w:numPr>
          <w:ilvl w:val="0"/>
          <w:numId w:val="1"/>
        </w:numPr>
        <w:spacing w:after="60"/>
      </w:pPr>
      <w:r>
        <w:rPr>
          <w:rFonts w:ascii="Calibri" w:cs="Calibri" w:eastAsia="Calibri" w:hAnsi="Calibri"/>
          <w:color w:val="1e293b"/>
          <w:sz w:val="22"/>
          <w:szCs w:val="22"/>
        </w:rPr>
        <w:t xml:space="preserve">Compliance</w:t>
      </w:r>
    </w:p>
    <w:p>
      <w:pPr>
        <w:pStyle w:val="ListParagraph"/>
        <w:numPr>
          <w:ilvl w:val="0"/>
          <w:numId w:val="1"/>
        </w:numPr>
        <w:spacing w:after="60"/>
      </w:pPr>
      <w:r>
        <w:rPr>
          <w:rFonts w:ascii="Calibri" w:cs="Calibri" w:eastAsia="Calibri" w:hAnsi="Calibri"/>
          <w:color w:val="1e293b"/>
          <w:sz w:val="22"/>
          <w:szCs w:val="22"/>
        </w:rPr>
        <w:t xml:space="preserve">Risk Management</w:t>
      </w:r>
    </w:p>
    <w:p>
      <w:pPr>
        <w:pStyle w:val="ListParagraph"/>
        <w:numPr>
          <w:ilvl w:val="0"/>
          <w:numId w:val="1"/>
        </w:numPr>
        <w:spacing w:after="60"/>
      </w:pPr>
      <w:r>
        <w:rPr>
          <w:rFonts w:ascii="Calibri" w:cs="Calibri" w:eastAsia="Calibri" w:hAnsi="Calibri"/>
          <w:color w:val="1e293b"/>
          <w:sz w:val="22"/>
          <w:szCs w:val="22"/>
        </w:rPr>
        <w:t xml:space="preserve">Asset Management</w:t>
      </w:r>
    </w:p>
    <w:p>
      <w:pPr>
        <w:pStyle w:val="ListParagraph"/>
        <w:numPr>
          <w:ilvl w:val="0"/>
          <w:numId w:val="1"/>
        </w:numPr>
        <w:spacing w:after="60"/>
      </w:pPr>
      <w:r>
        <w:rPr>
          <w:rFonts w:ascii="Calibri" w:cs="Calibri" w:eastAsia="Calibri" w:hAnsi="Calibri"/>
          <w:color w:val="1e293b"/>
          <w:sz w:val="22"/>
          <w:szCs w:val="22"/>
        </w:rPr>
        <w:t xml:space="preserve">Internal Audit</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access to all modules across all tenants</w:t>
      </w:r>
    </w:p>
    <w:p>
      <w:pPr>
        <w:pStyle w:val="ListParagraph"/>
        <w:numPr>
          <w:ilvl w:val="0"/>
          <w:numId w:val="1"/>
        </w:numPr>
        <w:spacing w:after="60"/>
      </w:pPr>
      <w:r>
        <w:rPr>
          <w:rFonts w:ascii="Calibri" w:cs="Calibri" w:eastAsia="Calibri" w:hAnsi="Calibri"/>
          <w:color w:val="1e293b"/>
          <w:sz w:val="22"/>
          <w:szCs w:val="22"/>
        </w:rPr>
        <w:t xml:space="preserve">Manage customer accounts (create, edit, delete, activate, block)</w:t>
      </w:r>
    </w:p>
    <w:p>
      <w:pPr>
        <w:pStyle w:val="ListParagraph"/>
        <w:numPr>
          <w:ilvl w:val="0"/>
          <w:numId w:val="1"/>
        </w:numPr>
        <w:spacing w:after="60"/>
      </w:pPr>
      <w:r>
        <w:rPr>
          <w:rFonts w:ascii="Calibri" w:cs="Calibri" w:eastAsia="Calibri" w:hAnsi="Calibri"/>
          <w:color w:val="1e293b"/>
          <w:sz w:val="22"/>
          <w:szCs w:val="22"/>
        </w:rPr>
        <w:t xml:space="preserve">Configure system-wide settings (SSO, email, imports/exports)</w:t>
      </w:r>
    </w:p>
    <w:p>
      <w:pPr>
        <w:pStyle w:val="ListParagraph"/>
        <w:numPr>
          <w:ilvl w:val="0"/>
          <w:numId w:val="1"/>
        </w:numPr>
        <w:spacing w:after="60"/>
      </w:pPr>
      <w:r>
        <w:rPr>
          <w:rFonts w:ascii="Calibri" w:cs="Calibri" w:eastAsia="Calibri" w:hAnsi="Calibri"/>
          <w:color w:val="1e293b"/>
          <w:sz w:val="22"/>
          <w:szCs w:val="22"/>
        </w:rPr>
        <w:t xml:space="preserve">Manage compliance master data (frameworks, controls, governance templates)</w:t>
      </w:r>
    </w:p>
    <w:p>
      <w:pPr>
        <w:pStyle w:val="ListParagraph"/>
        <w:numPr>
          <w:ilvl w:val="0"/>
          <w:numId w:val="1"/>
        </w:numPr>
        <w:spacing w:after="60"/>
      </w:pPr>
      <w:r>
        <w:rPr>
          <w:rFonts w:ascii="Calibri" w:cs="Calibri" w:eastAsia="Calibri" w:hAnsi="Calibri"/>
          <w:color w:val="1e293b"/>
          <w:sz w:val="22"/>
          <w:szCs w:val="22"/>
        </w:rPr>
        <w:t xml:space="preserve">Access all dashboards and reports system-wide</w:t>
      </w:r>
    </w:p>
    <w:p>
      <w:pPr>
        <w:pStyle w:val="ListParagraph"/>
        <w:numPr>
          <w:ilvl w:val="0"/>
          <w:numId w:val="1"/>
        </w:numPr>
        <w:spacing w:after="60"/>
      </w:pPr>
      <w:r>
        <w:rPr>
          <w:rFonts w:ascii="Calibri" w:cs="Calibri" w:eastAsia="Calibri" w:hAnsi="Calibri"/>
          <w:color w:val="1e293b"/>
          <w:sz w:val="22"/>
          <w:szCs w:val="22"/>
        </w:rPr>
        <w:t xml:space="preserve">Framework management (add/remove compliance frameworks)</w:t>
      </w:r>
    </w:p>
    <w:p>
      <w:pPr>
        <w:pStyle w:val="ListParagraph"/>
        <w:numPr>
          <w:ilvl w:val="0"/>
          <w:numId w:val="1"/>
        </w:numPr>
        <w:spacing w:after="60"/>
      </w:pPr>
      <w:r>
        <w:rPr>
          <w:rFonts w:ascii="Calibri" w:cs="Calibri" w:eastAsia="Calibri" w:hAnsi="Calibri"/>
          <w:color w:val="1e293b"/>
          <w:sz w:val="22"/>
          <w:szCs w:val="22"/>
        </w:rPr>
        <w:t xml:space="preserve">System-wide data visibility across all departments and tenants</w:t>
      </w:r>
    </w:p>
    <w:p>
      <w:pPr>
        <w:pStyle w:val="ListParagraph"/>
        <w:numPr>
          <w:ilvl w:val="0"/>
          <w:numId w:val="1"/>
        </w:numPr>
        <w:spacing w:after="60"/>
      </w:pPr>
      <w:r>
        <w:rPr>
          <w:rFonts w:ascii="Calibri" w:cs="Calibri" w:eastAsia="Calibri" w:hAnsi="Calibri"/>
          <w:color w:val="1e293b"/>
          <w:sz w:val="22"/>
          <w:szCs w:val="22"/>
        </w:rPr>
        <w:t xml:space="preserve">Email settings and notification configuration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GRC Administration</w:t>
      </w:r>
    </w:p>
    <w:p>
      <w:pPr>
        <w:spacing w:after="120"/>
      </w:pPr>
      <w:r>
        <w:rPr>
          <w:rFonts w:ascii="Calibri" w:cs="Calibri" w:eastAsia="Calibri" w:hAnsi="Calibri"/>
          <w:color w:val="1e293b"/>
          <w:sz w:val="22"/>
          <w:szCs w:val="22"/>
        </w:rPr>
        <w:t xml:space="preserve">System-level administration for managing customer accounts, compliance master data, email settings, and system configuration. This module is only accessible to GRC Administrators.</w:t>
      </w:r>
    </w:p>
    <w:p>
      <w:pPr>
        <w:spacing w:after="200"/>
      </w:pPr>
    </w:p>
    <w:p>
      <w:pPr>
        <w:pStyle w:val="Heading2"/>
        <w:spacing w:after="150" w:before="300"/>
      </w:pPr>
      <w:r>
        <w:rPr>
          <w:rFonts w:ascii="Calibri" w:cs="Calibri" w:eastAsia="Calibri" w:hAnsi="Calibri"/>
          <w:b/>
          <w:bCs/>
          <w:color w:val="1e293b"/>
          <w:sz w:val="28"/>
          <w:szCs w:val="28"/>
        </w:rPr>
        <w:t xml:space="preserve">Customer Accounts</w:t>
      </w:r>
    </w:p>
    <w:p>
      <w:pPr>
        <w:spacing w:after="120"/>
      </w:pPr>
      <w:r>
        <w:rPr>
          <w:rFonts w:ascii="Calibri" w:cs="Calibri" w:eastAsia="Calibri" w:hAnsi="Calibri"/>
          <w:color w:val="1e293b"/>
          <w:sz w:val="22"/>
          <w:szCs w:val="22"/>
        </w:rPr>
        <w:t xml:space="preserve">Multi-tenant customer account management. Create, edit, and manage customer organizations with subscription module flags and configuration.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Customer Accounts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customer accounts</w:t>
      </w:r>
    </w:p>
    <w:p>
      <w:pPr>
        <w:pStyle w:val="ListParagraph"/>
        <w:numPr>
          <w:ilvl w:val="0"/>
          <w:numId w:val="1"/>
        </w:numPr>
        <w:spacing w:after="60"/>
      </w:pPr>
      <w:r>
        <w:rPr>
          <w:rFonts w:ascii="Calibri" w:cs="Calibri" w:eastAsia="Calibri" w:hAnsi="Calibri"/>
          <w:color w:val="1e293b"/>
          <w:sz w:val="22"/>
          <w:szCs w:val="22"/>
        </w:rPr>
        <w:t xml:space="preserve">Create new customer accounts</w:t>
      </w:r>
    </w:p>
    <w:p>
      <w:pPr>
        <w:pStyle w:val="ListParagraph"/>
        <w:numPr>
          <w:ilvl w:val="0"/>
          <w:numId w:val="1"/>
        </w:numPr>
        <w:spacing w:after="60"/>
      </w:pPr>
      <w:r>
        <w:rPr>
          <w:rFonts w:ascii="Calibri" w:cs="Calibri" w:eastAsia="Calibri" w:hAnsi="Calibri"/>
          <w:color w:val="1e293b"/>
          <w:sz w:val="22"/>
          <w:szCs w:val="22"/>
        </w:rPr>
        <w:t xml:space="preserve">Edit customer details</w:t>
      </w:r>
    </w:p>
    <w:p>
      <w:pPr>
        <w:pStyle w:val="ListParagraph"/>
        <w:numPr>
          <w:ilvl w:val="0"/>
          <w:numId w:val="1"/>
        </w:numPr>
        <w:spacing w:after="60"/>
      </w:pPr>
      <w:r>
        <w:rPr>
          <w:rFonts w:ascii="Calibri" w:cs="Calibri" w:eastAsia="Calibri" w:hAnsi="Calibri"/>
          <w:color w:val="1e293b"/>
          <w:sz w:val="22"/>
          <w:szCs w:val="22"/>
        </w:rPr>
        <w:t xml:space="preserve">Delete customer accounts</w:t>
      </w:r>
    </w:p>
    <w:p>
      <w:pPr>
        <w:pStyle w:val="ListParagraph"/>
        <w:numPr>
          <w:ilvl w:val="0"/>
          <w:numId w:val="1"/>
        </w:numPr>
        <w:spacing w:after="60"/>
      </w:pPr>
      <w:r>
        <w:rPr>
          <w:rFonts w:ascii="Calibri" w:cs="Calibri" w:eastAsia="Calibri" w:hAnsi="Calibri"/>
          <w:color w:val="1e293b"/>
          <w:sz w:val="22"/>
          <w:szCs w:val="22"/>
        </w:rPr>
        <w:t xml:space="preserve">Account activation/blocking</w:t>
      </w:r>
    </w:p>
    <w:p>
      <w:pPr>
        <w:pStyle w:val="ListParagraph"/>
        <w:numPr>
          <w:ilvl w:val="0"/>
          <w:numId w:val="1"/>
        </w:numPr>
        <w:spacing w:after="60"/>
      </w:pPr>
      <w:r>
        <w:rPr>
          <w:rFonts w:ascii="Calibri" w:cs="Calibri" w:eastAsia="Calibri" w:hAnsi="Calibri"/>
          <w:color w:val="1e293b"/>
          <w:sz w:val="22"/>
          <w:szCs w:val="22"/>
        </w:rPr>
        <w:t xml:space="preserve">Subscription module flags (isGrcAdded, isTprmAdded, isQpostComplianceEnabled)</w:t>
      </w:r>
    </w:p>
    <w:p>
      <w:pPr>
        <w:pStyle w:val="ListParagraph"/>
        <w:numPr>
          <w:ilvl w:val="0"/>
          <w:numId w:val="1"/>
        </w:numPr>
        <w:spacing w:after="60"/>
      </w:pPr>
      <w:r>
        <w:rPr>
          <w:rFonts w:ascii="Calibri" w:cs="Calibri" w:eastAsia="Calibri" w:hAnsi="Calibri"/>
          <w:color w:val="1e293b"/>
          <w:sz w:val="22"/>
          <w:szCs w:val="22"/>
        </w:rPr>
        <w:t xml:space="preserve">Email and contact assignment</w:t>
      </w:r>
    </w:p>
    <w:p>
      <w:pPr>
        <w:pStyle w:val="ListParagraph"/>
        <w:numPr>
          <w:ilvl w:val="0"/>
          <w:numId w:val="1"/>
        </w:numPr>
        <w:spacing w:after="60"/>
      </w:pPr>
      <w:r>
        <w:rPr>
          <w:rFonts w:ascii="Calibri" w:cs="Calibri" w:eastAsia="Calibri" w:hAnsi="Calibri"/>
          <w:color w:val="1e293b"/>
          <w:sz w:val="22"/>
          <w:szCs w:val="22"/>
        </w:rPr>
        <w:t xml:space="preserve">Logo upload and management</w:t>
      </w:r>
    </w:p>
    <w:p>
      <w:pPr>
        <w:pStyle w:val="ListParagraph"/>
        <w:numPr>
          <w:ilvl w:val="0"/>
          <w:numId w:val="1"/>
        </w:numPr>
        <w:spacing w:after="60"/>
      </w:pPr>
      <w:r>
        <w:rPr>
          <w:rFonts w:ascii="Calibri" w:cs="Calibri" w:eastAsia="Calibri" w:hAnsi="Calibri"/>
          <w:color w:val="1e293b"/>
          <w:sz w:val="22"/>
          <w:szCs w:val="22"/>
        </w:rPr>
        <w:t xml:space="preserve">Language and timezone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Customer Accounts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System-wide compliance definitions including frameworks, controls, governance templates, evidence templates, and domain/category definitions.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System-wide framework management</w:t>
      </w:r>
    </w:p>
    <w:p>
      <w:pPr>
        <w:pStyle w:val="ListParagraph"/>
        <w:numPr>
          <w:ilvl w:val="0"/>
          <w:numId w:val="1"/>
        </w:numPr>
        <w:spacing w:after="60"/>
      </w:pPr>
      <w:r>
        <w:rPr>
          <w:rFonts w:ascii="Calibri" w:cs="Calibri" w:eastAsia="Calibri" w:hAnsi="Calibri"/>
          <w:color w:val="1e293b"/>
          <w:sz w:val="22"/>
          <w:szCs w:val="22"/>
        </w:rPr>
        <w:t xml:space="preserve">Control definitions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Compliance Master Data</w:t>
      </w:r>
    </w:p>
    <w:p>
      <w:pPr>
        <w:spacing w:after="200"/>
      </w:pPr>
    </w:p>
    <w:p>
      <w:pPr>
        <w:pStyle w:val="Heading2"/>
        <w:spacing w:after="150" w:before="300"/>
      </w:pPr>
      <w:r>
        <w:rPr>
          <w:rFonts w:ascii="Calibri" w:cs="Calibri" w:eastAsia="Calibri" w:hAnsi="Calibri"/>
          <w:b/>
          <w:bCs/>
          <w:color w:val="1e293b"/>
          <w:sz w:val="28"/>
          <w:szCs w:val="28"/>
        </w:rPr>
        <w:t xml:space="preserve">Email Settings</w:t>
      </w:r>
    </w:p>
    <w:p>
      <w:pPr>
        <w:spacing w:after="120"/>
      </w:pPr>
      <w:r>
        <w:rPr>
          <w:rFonts w:ascii="Calibri" w:cs="Calibri" w:eastAsia="Calibri" w:hAnsi="Calibri"/>
          <w:color w:val="1e293b"/>
          <w:sz w:val="22"/>
          <w:szCs w:val="22"/>
        </w:rPr>
        <w:t xml:space="preserve">Configure system email settings for notifications and alerts.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Email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SMTP settings configuration</w:t>
      </w:r>
    </w:p>
    <w:p>
      <w:pPr>
        <w:pStyle w:val="ListParagraph"/>
        <w:numPr>
          <w:ilvl w:val="0"/>
          <w:numId w:val="1"/>
        </w:numPr>
        <w:spacing w:after="60"/>
      </w:pPr>
      <w:r>
        <w:rPr>
          <w:rFonts w:ascii="Calibri" w:cs="Calibri" w:eastAsia="Calibri" w:hAnsi="Calibri"/>
          <w:color w:val="1e293b"/>
          <w:sz w:val="22"/>
          <w:szCs w:val="22"/>
        </w:rPr>
        <w:t xml:space="preserve">Email template management</w:t>
      </w:r>
    </w:p>
    <w:p>
      <w:pPr>
        <w:pStyle w:val="ListParagraph"/>
        <w:numPr>
          <w:ilvl w:val="0"/>
          <w:numId w:val="1"/>
        </w:numPr>
        <w:spacing w:after="60"/>
      </w:pPr>
      <w:r>
        <w:rPr>
          <w:rFonts w:ascii="Calibri" w:cs="Calibri" w:eastAsia="Calibri" w:hAnsi="Calibri"/>
          <w:color w:val="1e293b"/>
          <w:sz w:val="22"/>
          <w:szCs w:val="22"/>
        </w:rPr>
        <w:t xml:space="preserve">Notification email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Email Settings</w:t>
      </w:r>
    </w:p>
    <w:p>
      <w:pPr>
        <w:spacing w:after="200"/>
      </w:pPr>
    </w:p>
    <w:p>
      <w:pPr>
        <w:pStyle w:val="Heading2"/>
        <w:spacing w:after="150" w:before="300"/>
      </w:pPr>
      <w:r>
        <w:rPr>
          <w:rFonts w:ascii="Calibri" w:cs="Calibri" w:eastAsia="Calibri" w:hAnsi="Calibri"/>
          <w:b/>
          <w:bCs/>
          <w:color w:val="1e293b"/>
          <w:sz w:val="28"/>
          <w:szCs w:val="28"/>
        </w:rPr>
        <w:t xml:space="preserve">System Configuration</w:t>
      </w:r>
    </w:p>
    <w:p>
      <w:pPr>
        <w:spacing w:after="120"/>
      </w:pPr>
      <w:r>
        <w:rPr>
          <w:rFonts w:ascii="Calibri" w:cs="Calibri" w:eastAsia="Calibri" w:hAnsi="Calibri"/>
          <w:color w:val="1e293b"/>
          <w:sz w:val="22"/>
          <w:szCs w:val="22"/>
        </w:rPr>
        <w:t xml:space="preserve">System-wide configuration settings including SSO, Excel import/export, PDF report settings, and system reflection.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Reflection — system reflection/analysis settings</w:t>
      </w:r>
    </w:p>
    <w:p>
      <w:pPr>
        <w:pStyle w:val="ListParagraph"/>
        <w:numPr>
          <w:ilvl w:val="0"/>
          <w:numId w:val="1"/>
        </w:numPr>
        <w:spacing w:after="60"/>
      </w:pPr>
      <w:r>
        <w:rPr>
          <w:rFonts w:ascii="Calibri" w:cs="Calibri" w:eastAsia="Calibri" w:hAnsi="Calibri"/>
          <w:color w:val="1e293b"/>
          <w:sz w:val="22"/>
          <w:szCs w:val="22"/>
        </w:rPr>
        <w:t xml:space="preserve">Excel Import — import configuration</w:t>
      </w:r>
    </w:p>
    <w:p>
      <w:pPr>
        <w:pStyle w:val="ListParagraph"/>
        <w:numPr>
          <w:ilvl w:val="0"/>
          <w:numId w:val="1"/>
        </w:numPr>
        <w:spacing w:after="60"/>
      </w:pPr>
      <w:r>
        <w:rPr>
          <w:rFonts w:ascii="Calibri" w:cs="Calibri" w:eastAsia="Calibri" w:hAnsi="Calibri"/>
          <w:color w:val="1e293b"/>
          <w:sz w:val="22"/>
          <w:szCs w:val="22"/>
        </w:rPr>
        <w:t xml:space="preserve">Excel Export — export templates</w:t>
      </w:r>
    </w:p>
    <w:p>
      <w:pPr>
        <w:pStyle w:val="ListParagraph"/>
        <w:numPr>
          <w:ilvl w:val="0"/>
          <w:numId w:val="1"/>
        </w:numPr>
        <w:spacing w:after="60"/>
      </w:pPr>
      <w:r>
        <w:rPr>
          <w:rFonts w:ascii="Calibri" w:cs="Calibri" w:eastAsia="Calibri" w:hAnsi="Calibri"/>
          <w:color w:val="1e293b"/>
          <w:sz w:val="22"/>
          <w:szCs w:val="22"/>
        </w:rPr>
        <w:t xml:space="preserve">PDF Report — report generation settings</w:t>
      </w:r>
    </w:p>
    <w:p>
      <w:pPr>
        <w:pStyle w:val="ListParagraph"/>
        <w:numPr>
          <w:ilvl w:val="0"/>
          <w:numId w:val="1"/>
        </w:numPr>
        <w:spacing w:after="60"/>
      </w:pPr>
      <w:r>
        <w:rPr>
          <w:rFonts w:ascii="Calibri" w:cs="Calibri" w:eastAsia="Calibri" w:hAnsi="Calibri"/>
          <w:color w:val="1e293b"/>
          <w:sz w:val="22"/>
          <w:szCs w:val="22"/>
        </w:rPr>
        <w:t xml:space="preserve">SSO — Single Sign-On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Configuration</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GRCAdministrator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08e567de4b8b424677273f93962247bad0f3eb61.png"/><Relationship Id="rId28" Type="http://schemas.openxmlformats.org/officeDocument/2006/relationships/image" Target="media/c10822dde9d18fc0ad382d31a4ef023e8c2382c7.png"/><Relationship Id="rId29" Type="http://schemas.openxmlformats.org/officeDocument/2006/relationships/image" Target="media/458dad9b60a87a9934860d5c31b22937c3fdca7e.png"/><Relationship Id="rId30" Type="http://schemas.openxmlformats.org/officeDocument/2006/relationships/image" Target="media/8d1dcd5687382a8d81b56844fe29fcd4cba19955.png"/><Relationship Id="rId31" Type="http://schemas.openxmlformats.org/officeDocument/2006/relationships/image" Target="media/d723a9de2f077fdadc563099d8bf1a8f75b00b79.png"/><Relationship Id="rId32" Type="http://schemas.openxmlformats.org/officeDocument/2006/relationships/image" Target="media/4164ecb4788f35db008d18d633ea330aad89626b.png"/><Relationship Id="rId33" Type="http://schemas.openxmlformats.org/officeDocument/2006/relationships/image" Target="media/6e8746eb8bbda465b5f40114e0c47726f6b85349.png"/><Relationship Id="rId34" Type="http://schemas.openxmlformats.org/officeDocument/2006/relationships/image" Target="media/e14271dc68cb9f7d100c477a2bbfc70b5a225ec3.png"/><Relationship Id="rId35" Type="http://schemas.openxmlformats.org/officeDocument/2006/relationships/image" Target="media/d18e17b51be73489e2c685b890761d34a7a4bfef.png"/><Relationship Id="rId36" Type="http://schemas.openxmlformats.org/officeDocument/2006/relationships/image" Target="media/2e9c4ad0baaa45c112b561fe749f5595cd28449e.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2026-03-12T08:05:39.407Z</dcterms:created>
  <dcterms:modified xsi:type="dcterms:W3CDTF">2026-03-12T08:05:39.407Z</dcterms:modified>
</cp:coreProperties>
</file>

<file path=docProps/custom.xml><?xml version="1.0" encoding="utf-8"?>
<Properties xmlns="http://schemas.openxmlformats.org/officeDocument/2006/custom-properties" xmlns:vt="http://schemas.openxmlformats.org/officeDocument/2006/docPropsVTypes"/>
</file>