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</w:pPr>
    </w:p>
    <w:p>
      <w:pPr>
        <w:spacing w:after="200"/>
      </w:pPr>
    </w:p>
    <w:p>
      <w:pPr>
        <w:spacing w:after="200"/>
      </w:pPr>
    </w:p>
    <w:p>
      <w:pPr>
        <w:spacing w:after="200"/>
      </w:pPr>
    </w:p>
    <w:p>
      <w:pPr>
        <w:spacing w:after="400"/>
        <w:jc w:val="center"/>
      </w:pPr>
      <w:r>
        <w:rPr>
          <w:rFonts w:ascii="Calibri" w:cs="Calibri" w:eastAsia="Calibri" w:hAnsi="Calibri"/>
          <w:b/>
          <w:bCs/>
          <w:color w:val="1e40af"/>
          <w:sz w:val="56"/>
          <w:szCs w:val="56"/>
        </w:rPr>
        <w:t xml:space="preserve">TPRM Module</w:t>
      </w:r>
    </w:p>
    <w:p>
      <w:pPr>
        <w:spacing w:after="200"/>
        <w:jc w:val="center"/>
      </w:pPr>
      <w:r>
        <w:rPr>
          <w:rFonts w:ascii="Calibri" w:cs="Calibri" w:eastAsia="Calibri" w:hAnsi="Calibri"/>
          <w:color w:val="64748b"/>
          <w:sz w:val="28"/>
          <w:szCs w:val="28"/>
        </w:rPr>
        <w:t xml:space="preserve">User Manual — Factory Administrator</w:t>
      </w:r>
    </w:p>
    <w:p>
      <w:pPr>
        <w:spacing w:after="200"/>
      </w:pPr>
    </w:p>
    <w:p>
      <w:pPr>
        <w:spacing w:after="120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Glimmora International</w:t>
      </w:r>
    </w:p>
    <w:p>
      <w:pPr>
        <w:spacing w:after="12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Generated: March 12, 2026</w:t>
      </w:r>
    </w:p>
    <w:p>
      <w:pPr>
        <w:spacing w:after="12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Version 1.0</w:t>
      </w:r>
    </w:p>
    <w:p>
      <w:pPr>
        <w:spacing w:after="200"/>
      </w:pPr>
    </w:p>
    <w:p>
      <w:pPr>
        <w:spacing w:after="120"/>
        <w:ind w:left="360"/>
      </w:pPr>
      <w:r>
        <w:rPr>
          <w:rFonts w:ascii="Calibri" w:cs="Calibri" w:eastAsia="Calibri" w:hAnsi="Calibri"/>
          <w:b/>
          <w:bCs/>
          <w:color w:val="2563eb"/>
          <w:sz w:val="22"/>
          <w:szCs w:val="22"/>
        </w:rPr>
        <w:t xml:space="preserve">Note: </w:t>
      </w:r>
      <w:r>
        <w:rPr>
          <w:rFonts w:ascii="Calibri" w:cs="Calibri" w:eastAsia="Calibri" w:hAnsi="Calibri"/>
          <w:i/>
          <w:iCs/>
          <w:color w:val="64748b"/>
          <w:sz w:val="22"/>
          <w:szCs w:val="22"/>
        </w:rPr>
        <w:t xml:space="preserve">This document is auto-generated and confidential. Do not distribute without authorization.</w:t>
      </w:r>
    </w:p>
    <w:p>
      <w:r>
        <w:br w:type="page"/>
      </w:r>
    </w:p>
    <w:p>
      <w:pPr>
        <w:pStyle w:val="Heading1"/>
        <w:pBdr>
          <w:bottom w:val="single" w:color="1e40af" w:sz="6" w:space="4"/>
        </w:pBdr>
        <w:spacing w:after="200" w:before="400"/>
      </w:pPr>
      <w:r>
        <w:rPr>
          <w:rFonts w:ascii="Calibri" w:cs="Calibri" w:eastAsia="Calibri" w:hAnsi="Calibri"/>
          <w:b/>
          <w:bCs/>
          <w:color w:val="1e40af"/>
          <w:sz w:val="36"/>
          <w:szCs w:val="36"/>
        </w:rPr>
        <w:t xml:space="preserve">Getting Started</w:t>
      </w: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1e293b"/>
          <w:sz w:val="28"/>
          <w:szCs w:val="28"/>
        </w:rPr>
        <w:t xml:space="preserve">Logging In</w:t>
      </w:r>
    </w:p>
    <w:p>
      <w:pPr>
        <w:spacing w:after="12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To access the application: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Open your web browser and navigate to the application URL provided by your administrator.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Enter your username and password on the login page.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Click "Sign In" to access the application.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Upon successful login, you will be redirected to your default dashboard.</w:t>
      </w:r>
    </w:p>
    <w:p>
      <w:pPr>
        <w:spacing w:after="200"/>
      </w:pPr>
    </w:p>
    <w:p>
      <w:pPr>
        <w:spacing w:after="200" w:before="200"/>
        <w:jc w:val="center"/>
      </w:pPr>
      <w:r>
        <w:drawing>
          <wp:inline distT="0" distB="0" distL="0" distR="0">
            <wp:extent cx="4762500" cy="2857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rPr>
          <w:rFonts w:ascii="Calibri" w:cs="Calibri" w:eastAsia="Calibri" w:hAnsi="Calibri"/>
          <w:i/>
          <w:iCs/>
          <w:color w:val="1e293b"/>
          <w:sz w:val="22"/>
          <w:szCs w:val="22"/>
        </w:rPr>
        <w:t xml:space="preserve">Figure: Login page</w:t>
      </w:r>
    </w:p>
    <w:p>
      <w:pPr>
        <w:spacing w:after="200"/>
      </w:pP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1e293b"/>
          <w:sz w:val="28"/>
          <w:szCs w:val="28"/>
        </w:rPr>
        <w:t xml:space="preserve">Navigation</w:t>
      </w:r>
    </w:p>
    <w:p>
      <w:pPr>
        <w:spacing w:after="12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The TPRM module uses a sidebar navigation menu on the left side of the screen. Each menu item corresponds to a functional area. Your visible menu items depend on your assigned role and permissions.</w:t>
      </w:r>
    </w:p>
    <w:p>
      <w:pPr>
        <w:spacing w:after="12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Key navigation elements: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Sidebar menu — Primary navigation to all accessible pages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Breadcrumb trail — Shows your current location within the application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Header bar — Contains user profile, notifications, and language switcher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Language selector — Switch between English, Arabic (RTL), and Latvian</w:t>
      </w:r>
    </w:p>
    <w:p>
      <w:pPr>
        <w:spacing w:after="200"/>
      </w:pP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1e293b"/>
          <w:sz w:val="28"/>
          <w:szCs w:val="28"/>
        </w:rPr>
        <w:t xml:space="preserve">Multi-Language Support</w:t>
      </w:r>
    </w:p>
    <w:p>
      <w:pPr>
        <w:spacing w:after="12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The application supports three languages: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English (default) — Left-to-right layout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Arabic — Right-to-left (RTL) layout with full UI mirroring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Latvian — Left-to-right layout</w:t>
      </w:r>
    </w:p>
    <w:p>
      <w:pPr>
        <w:spacing w:after="12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To change the language, use the language selector in the header. All labels, buttons, and system text will be translated. User-entered data (vendor names, risk descriptions, etc.) is also translated dynamically when records are created or edited.</w:t>
      </w:r>
    </w:p>
    <w:p>
      <w:pPr>
        <w:spacing w:after="200"/>
      </w:pP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1e293b"/>
          <w:sz w:val="28"/>
          <w:szCs w:val="28"/>
        </w:rPr>
        <w:t xml:space="preserve">Common UI Patterns</w:t>
      </w:r>
    </w:p>
    <w:p>
      <w:pPr>
        <w:spacing w:after="12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Throughout the application, you will encounter these common interface patterns: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Data tables — Sortable, filterable lists with pagination and search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Dialog forms — Modal forms for creating and editing records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Accordion views — Expandable/collapsible sections for detailed information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Status badges — Color-coded labels indicating record status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Action buttons — Create, Edit, Delete, Export, and role-specific actions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Toast notifications — Brief success/error messages after actions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Charts — Bar charts, pie charts, and progress indicators on dashboards</w:t>
      </w:r>
    </w:p>
    <w:p>
      <w:r>
        <w:br w:type="page"/>
      </w:r>
    </w:p>
    <w:p>
      <w:pPr>
        <w:pStyle w:val="Heading1"/>
        <w:pBdr>
          <w:bottom w:val="single" w:color="1e40af" w:sz="6" w:space="4"/>
        </w:pBdr>
        <w:spacing w:after="200" w:before="400"/>
      </w:pPr>
      <w:r>
        <w:rPr>
          <w:rFonts w:ascii="Calibri" w:cs="Calibri" w:eastAsia="Calibri" w:hAnsi="Calibri"/>
          <w:b/>
          <w:bCs/>
          <w:color w:val="1e40af"/>
          <w:sz w:val="36"/>
          <w:szCs w:val="36"/>
        </w:rPr>
        <w:t xml:space="preserve">Role: Factory Administrator</w:t>
      </w:r>
    </w:p>
    <w:p>
      <w:pPr>
        <w:spacing w:after="12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Administers TPRM for a specific factory/facility. Manages factory team users, assessment factory operations, and factory assessment reports.</w:t>
      </w:r>
    </w:p>
    <w:p>
      <w:pPr>
        <w:spacing w:after="200"/>
      </w:pP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1e293b"/>
          <w:sz w:val="28"/>
          <w:szCs w:val="28"/>
        </w:rPr>
        <w:t xml:space="preserve">Accessible Modules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Factory User Management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Assessment Factory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Factory Reports</w:t>
      </w:r>
    </w:p>
    <w:p>
      <w:pPr>
        <w:spacing w:after="200"/>
      </w:pP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1e293b"/>
          <w:sz w:val="28"/>
          <w:szCs w:val="28"/>
        </w:rPr>
        <w:t xml:space="preserve">Key Capabilities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Manage factory team users and role assignments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Operate assessment factory for batch assessment creation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View factory assessment reports and history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Assign FactoryAdmin and FactoryAssessor roles</w:t>
      </w:r>
    </w:p>
    <w:p>
      <w:r>
        <w:br w:type="page"/>
      </w:r>
    </w:p>
    <w:p>
      <w:pPr>
        <w:pStyle w:val="Heading1"/>
        <w:pBdr>
          <w:bottom w:val="single" w:color="1e40af" w:sz="6" w:space="4"/>
        </w:pBdr>
        <w:spacing w:after="200" w:before="400"/>
      </w:pPr>
      <w:r>
        <w:rPr>
          <w:rFonts w:ascii="Calibri" w:cs="Calibri" w:eastAsia="Calibri" w:hAnsi="Calibri"/>
          <w:b/>
          <w:bCs/>
          <w:color w:val="1e40af"/>
          <w:sz w:val="36"/>
          <w:szCs w:val="36"/>
        </w:rPr>
        <w:t xml:space="preserve">Assessment Management</w:t>
      </w:r>
    </w:p>
    <w:p>
      <w:pPr>
        <w:spacing w:after="12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Create, conduct, and manage vendor risk assessments using questionnaire-based approaches (CAIQ). Supports assessment lifecycle from creation through completion and approval.</w:t>
      </w:r>
    </w:p>
    <w:p>
      <w:pPr>
        <w:spacing w:after="200"/>
      </w:pP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1e293b"/>
          <w:sz w:val="28"/>
          <w:szCs w:val="28"/>
        </w:rPr>
        <w:t xml:space="preserve">RM Assessments</w:t>
      </w:r>
    </w:p>
    <w:p>
      <w:pPr>
        <w:spacing w:after="12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Relationship Manager assessment management. Create assessments, assign assessors, and track the full assessment lifecycle.</w:t>
      </w:r>
    </w:p>
    <w:p>
      <w:pPr>
        <w:spacing w:after="200" w:before="200"/>
        <w:jc w:val="center"/>
      </w:pPr>
      <w:r>
        <w:drawing>
          <wp:inline distT="0" distB="0" distL="0" distR="0">
            <wp:extent cx="5524500" cy="3238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rPr>
          <w:rFonts w:ascii="Calibri" w:cs="Calibri" w:eastAsia="Calibri" w:hAnsi="Calibri"/>
          <w:i/>
          <w:iCs/>
          <w:color w:val="1e293b"/>
          <w:sz w:val="22"/>
          <w:szCs w:val="22"/>
        </w:rPr>
        <w:t xml:space="preserve">Figure: RM Assessments page view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2563eb"/>
          <w:sz w:val="24"/>
          <w:szCs w:val="24"/>
        </w:rPr>
        <w:t xml:space="preserve">Features &amp; Capabilities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List all assessments with status and assignee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Create new assessment (select vendor, type, assign assessor)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View assessment details and results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Track status: Draft → In Progress → Submitted → Under Review → Approved/Completed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Filter by status, vendor, assessor</w:t>
      </w:r>
    </w:p>
    <w:p>
      <w:pPr>
        <w:spacing w:after="200"/>
      </w:pP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2563eb"/>
          <w:sz w:val="24"/>
          <w:szCs w:val="24"/>
        </w:rPr>
        <w:t xml:space="preserve">Navigation Path</w:t>
      </w:r>
    </w:p>
    <w:p>
      <w:pPr>
        <w:spacing w:after="12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Sidebar → TPRM → RM → Assessments</w:t>
      </w:r>
    </w:p>
    <w:p>
      <w:pPr>
        <w:spacing w:after="200"/>
      </w:pP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1e293b"/>
          <w:sz w:val="28"/>
          <w:szCs w:val="28"/>
        </w:rPr>
        <w:t xml:space="preserve">BO Assessments</w:t>
      </w:r>
    </w:p>
    <w:p>
      <w:pPr>
        <w:spacing w:after="12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Business Owner assessment view with tabbed interface for Ongoing, Completed, and Offboard assessments with sub-tab navigation.</w:t>
      </w:r>
    </w:p>
    <w:p>
      <w:pPr>
        <w:spacing w:after="200" w:before="200"/>
        <w:jc w:val="center"/>
      </w:pPr>
      <w:r>
        <w:drawing>
          <wp:inline distT="0" distB="0" distL="0" distR="0">
            <wp:extent cx="5524500" cy="3238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rPr>
          <w:rFonts w:ascii="Calibri" w:cs="Calibri" w:eastAsia="Calibri" w:hAnsi="Calibri"/>
          <w:i/>
          <w:iCs/>
          <w:color w:val="1e293b"/>
          <w:sz w:val="22"/>
          <w:szCs w:val="22"/>
        </w:rPr>
        <w:t xml:space="preserve">Figure: BO Assessments page view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2563eb"/>
          <w:sz w:val="24"/>
          <w:szCs w:val="24"/>
        </w:rPr>
        <w:t xml:space="preserve">Features &amp; Capabilities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Top tabs: Ongoing Assessments, Completed Assessments, Offboard Assessments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Ongoing sub-tabs: Awaiting Response, Pending with Assessor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Offboard sub-tabs: Offboard Approval, Terminated Vendors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Table columns: Assessment ID, Vendor, Type, Status, Initiated, Due Date, Action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Status color coding: Initiated (outline), In-Progress (secondary), Completed (default)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Route to offboard review page for offboarding assessments</w:t>
      </w:r>
    </w:p>
    <w:p>
      <w:pPr>
        <w:spacing w:after="200"/>
      </w:pP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2563eb"/>
          <w:sz w:val="24"/>
          <w:szCs w:val="24"/>
        </w:rPr>
        <w:t xml:space="preserve">Navigation Path</w:t>
      </w:r>
    </w:p>
    <w:p>
      <w:pPr>
        <w:spacing w:after="12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Sidebar → TPRM → BO → Assessments</w:t>
      </w:r>
    </w:p>
    <w:p>
      <w:pPr>
        <w:spacing w:after="200"/>
      </w:pP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1e293b"/>
          <w:sz w:val="28"/>
          <w:szCs w:val="28"/>
        </w:rPr>
        <w:t xml:space="preserve">AM Assessments</w:t>
      </w:r>
    </w:p>
    <w:p>
      <w:pPr>
        <w:spacing w:after="12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Account Manager assessment view with tabs for Active, Submitted, Past, and Offboard assessments. Start or resume assessments from this page.</w:t>
      </w:r>
    </w:p>
    <w:p>
      <w:pPr>
        <w:spacing w:after="200" w:before="200"/>
        <w:jc w:val="center"/>
      </w:pPr>
      <w:r>
        <w:drawing>
          <wp:inline distT="0" distB="0" distL="0" distR="0">
            <wp:extent cx="5524500" cy="3238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rPr>
          <w:rFonts w:ascii="Calibri" w:cs="Calibri" w:eastAsia="Calibri" w:hAnsi="Calibri"/>
          <w:i/>
          <w:iCs/>
          <w:color w:val="1e293b"/>
          <w:sz w:val="22"/>
          <w:szCs w:val="22"/>
        </w:rPr>
        <w:t xml:space="preserve">Figure: AM Assessments page view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2563eb"/>
          <w:sz w:val="24"/>
          <w:szCs w:val="24"/>
        </w:rPr>
        <w:t xml:space="preserve">Features &amp; Capabilities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Tabs: Active, Submitted, Past, Offboard assessments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Search: filter by assessment code/vendor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Start (Draft) or Resume assessments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Offboard routing to dedicated offboard questionnaire page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Status color coding: Gray (Draft), Blue (In Progress), Orange (Returned), Purple (Submitted), Indigo (Under Review), Green (Completed)</w:t>
      </w:r>
    </w:p>
    <w:p>
      <w:pPr>
        <w:spacing w:after="200"/>
      </w:pP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2563eb"/>
          <w:sz w:val="24"/>
          <w:szCs w:val="24"/>
        </w:rPr>
        <w:t xml:space="preserve">Navigation Path</w:t>
      </w:r>
    </w:p>
    <w:p>
      <w:pPr>
        <w:spacing w:after="12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Sidebar → TPRM → AM → Assessments</w:t>
      </w:r>
    </w:p>
    <w:p>
      <w:pPr>
        <w:spacing w:after="200"/>
      </w:pP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1e293b"/>
          <w:sz w:val="28"/>
          <w:szCs w:val="28"/>
        </w:rPr>
        <w:t xml:space="preserve">Assessor Assessments</w:t>
      </w:r>
    </w:p>
    <w:p>
      <w:pPr>
        <w:spacing w:after="12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Assessor's workqueue of assigned assessments. Conduct assessments by answering CAIQ questionnaire questions with AI assistance.</w:t>
      </w:r>
    </w:p>
    <w:p>
      <w:pPr>
        <w:spacing w:after="200" w:before="200"/>
        <w:jc w:val="center"/>
      </w:pPr>
      <w:r>
        <w:drawing>
          <wp:inline distT="0" distB="0" distL="0" distR="0">
            <wp:extent cx="5524500" cy="3238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rPr>
          <w:rFonts w:ascii="Calibri" w:cs="Calibri" w:eastAsia="Calibri" w:hAnsi="Calibri"/>
          <w:i/>
          <w:iCs/>
          <w:color w:val="1e293b"/>
          <w:sz w:val="22"/>
          <w:szCs w:val="22"/>
        </w:rPr>
        <w:t xml:space="preserve">Figure: Assessor Assessments page view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2563eb"/>
          <w:sz w:val="24"/>
          <w:szCs w:val="24"/>
        </w:rPr>
        <w:t xml:space="preserve">Features &amp; Capabilities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List assessments assigned for completion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Open assessment questionnaire (CAIQ questions by domain)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Answer questions with compliance ratings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Add evidence and notes to individual questions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Submit completed assessments for review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Save draft progress at any time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AI-assisted question answering (Enable AI button)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View vendor details within assessment context</w:t>
      </w:r>
    </w:p>
    <w:p>
      <w:pPr>
        <w:spacing w:after="200"/>
      </w:pP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2563eb"/>
          <w:sz w:val="24"/>
          <w:szCs w:val="24"/>
        </w:rPr>
        <w:t xml:space="preserve">Navigation Path</w:t>
      </w:r>
    </w:p>
    <w:p>
      <w:pPr>
        <w:spacing w:after="12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Sidebar → TPRM → Assessor → Assessments</w:t>
      </w:r>
    </w:p>
    <w:p>
      <w:pPr>
        <w:spacing w:after="200"/>
      </w:pP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1e293b"/>
          <w:sz w:val="28"/>
          <w:szCs w:val="28"/>
        </w:rPr>
        <w:t xml:space="preserve">Approver Assessments</w:t>
      </w:r>
    </w:p>
    <w:p>
      <w:pPr>
        <w:spacing w:after="12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Approver's view of submitted assessments awaiting review. Review responses, approve or reject with comments.</w:t>
      </w:r>
    </w:p>
    <w:p>
      <w:pPr>
        <w:spacing w:after="200" w:before="200"/>
        <w:jc w:val="center"/>
      </w:pPr>
      <w:r>
        <w:drawing>
          <wp:inline distT="0" distB="0" distL="0" distR="0">
            <wp:extent cx="5524500" cy="3238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rPr>
          <w:rFonts w:ascii="Calibri" w:cs="Calibri" w:eastAsia="Calibri" w:hAnsi="Calibri"/>
          <w:i/>
          <w:iCs/>
          <w:color w:val="1e293b"/>
          <w:sz w:val="22"/>
          <w:szCs w:val="22"/>
        </w:rPr>
        <w:t xml:space="preserve">Figure: Approver Assessments page view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2563eb"/>
          <w:sz w:val="24"/>
          <w:szCs w:val="24"/>
        </w:rPr>
        <w:t xml:space="preserve">Features &amp; Capabilities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List assessments submitted for approval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Review assessment responses and evidence per question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Approve or reject assessments with review comments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View assessment result summary and overall score</w:t>
      </w:r>
    </w:p>
    <w:p>
      <w:pPr>
        <w:spacing w:after="200"/>
      </w:pP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2563eb"/>
          <w:sz w:val="24"/>
          <w:szCs w:val="24"/>
        </w:rPr>
        <w:t xml:space="preserve">Navigation Path</w:t>
      </w:r>
    </w:p>
    <w:p>
      <w:pPr>
        <w:spacing w:after="12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Sidebar → TPRM → Approver → Assessments</w:t>
      </w:r>
    </w:p>
    <w:p>
      <w:pPr>
        <w:spacing w:after="200"/>
      </w:pP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1e293b"/>
          <w:sz w:val="28"/>
          <w:szCs w:val="28"/>
        </w:rPr>
        <w:t xml:space="preserve">CAIQ Questions</w:t>
      </w:r>
    </w:p>
    <w:p>
      <w:pPr>
        <w:spacing w:after="12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View the CAIQ questionnaire library organized by domains. Search and filter assessment questions.</w:t>
      </w:r>
    </w:p>
    <w:p>
      <w:pPr>
        <w:spacing w:after="200" w:before="200"/>
        <w:jc w:val="center"/>
      </w:pPr>
      <w:r>
        <w:drawing>
          <wp:inline distT="0" distB="0" distL="0" distR="0">
            <wp:extent cx="5524500" cy="3238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rPr>
          <w:rFonts w:ascii="Calibri" w:cs="Calibri" w:eastAsia="Calibri" w:hAnsi="Calibri"/>
          <w:i/>
          <w:iCs/>
          <w:color w:val="1e293b"/>
          <w:sz w:val="22"/>
          <w:szCs w:val="22"/>
        </w:rPr>
        <w:t xml:space="preserve">Figure: CAIQ Questions page view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2563eb"/>
          <w:sz w:val="24"/>
          <w:szCs w:val="24"/>
        </w:rPr>
        <w:t xml:space="preserve">Features &amp; Capabilities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List all CAIQ questions organized by domain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View question details (ID, question text, domain)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Search questions by keyword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Filter by domain</w:t>
      </w:r>
    </w:p>
    <w:p>
      <w:pPr>
        <w:spacing w:after="200"/>
      </w:pP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2563eb"/>
          <w:sz w:val="24"/>
          <w:szCs w:val="24"/>
        </w:rPr>
        <w:t xml:space="preserve">Navigation Path</w:t>
      </w:r>
    </w:p>
    <w:p>
      <w:pPr>
        <w:spacing w:after="12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Sidebar → TPRM → Assessor → CAIQ Questions</w:t>
      </w:r>
    </w:p>
    <w:p>
      <w:pPr>
        <w:spacing w:after="200"/>
      </w:pP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1e293b"/>
          <w:sz w:val="28"/>
          <w:szCs w:val="28"/>
        </w:rPr>
        <w:t xml:space="preserve">Assessment Factory</w:t>
      </w:r>
    </w:p>
    <w:p>
      <w:pPr>
        <w:spacing w:after="12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Batch create and schedule assessments for multiple vendors. Generate assessments at scale.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2563eb"/>
          <w:sz w:val="24"/>
          <w:szCs w:val="24"/>
        </w:rPr>
        <w:t xml:space="preserve">Features &amp; Capabilities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Batch assessment generation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Scheduled assessment creation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Multi-vendor assessment initiation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Template-based assessment creation</w:t>
      </w:r>
    </w:p>
    <w:p>
      <w:pPr>
        <w:spacing w:after="200"/>
      </w:pP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2563eb"/>
          <w:sz w:val="24"/>
          <w:szCs w:val="24"/>
        </w:rPr>
        <w:t xml:space="preserve">Navigation Path</w:t>
      </w:r>
    </w:p>
    <w:p>
      <w:pPr>
        <w:spacing w:after="12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Sidebar → TPRM → Assessor → Assessment Factory</w:t>
      </w:r>
    </w:p>
    <w:p>
      <w:pPr>
        <w:spacing w:after="200"/>
      </w:pP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1e293b"/>
          <w:sz w:val="28"/>
          <w:szCs w:val="28"/>
        </w:rPr>
        <w:t xml:space="preserve">Assessment Templates</w:t>
      </w:r>
    </w:p>
    <w:p>
      <w:pPr>
        <w:spacing w:after="12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Manage assessment templates that define the structure and questions for vendor assessments.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2563eb"/>
          <w:sz w:val="24"/>
          <w:szCs w:val="24"/>
        </w:rPr>
        <w:t xml:space="preserve">Features &amp; Capabilities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Template creation and management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Define assessment structure and questions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Assign templates to assessment types</w:t>
      </w:r>
    </w:p>
    <w:p>
      <w:pPr>
        <w:spacing w:after="200"/>
      </w:pP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2563eb"/>
          <w:sz w:val="24"/>
          <w:szCs w:val="24"/>
        </w:rPr>
        <w:t xml:space="preserve">Navigation Path</w:t>
      </w:r>
    </w:p>
    <w:p>
      <w:pPr>
        <w:spacing w:after="12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Sidebar → TPRM → Assessor → Template</w:t>
      </w:r>
    </w:p>
    <w:p>
      <w:pPr>
        <w:spacing w:after="200"/>
      </w:pPr>
    </w:p>
    <w:p>
      <w:r>
        <w:br w:type="page"/>
      </w:r>
    </w:p>
    <w:p>
      <w:pPr>
        <w:pStyle w:val="Heading1"/>
        <w:pBdr>
          <w:bottom w:val="single" w:color="1e40af" w:sz="6" w:space="4"/>
        </w:pBdr>
        <w:spacing w:after="200" w:before="400"/>
      </w:pPr>
      <w:r>
        <w:rPr>
          <w:rFonts w:ascii="Calibri" w:cs="Calibri" w:eastAsia="Calibri" w:hAnsi="Calibri"/>
          <w:b/>
          <w:bCs/>
          <w:color w:val="1e40af"/>
          <w:sz w:val="36"/>
          <w:szCs w:val="36"/>
        </w:rPr>
        <w:t xml:space="preserve">User Management</w:t>
      </w:r>
    </w:p>
    <w:p>
      <w:pPr>
        <w:spacing w:after="12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Role-specific user administration for TPRM teams.</w:t>
      </w:r>
    </w:p>
    <w:p>
      <w:pPr>
        <w:spacing w:after="200"/>
      </w:pP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1e293b"/>
          <w:sz w:val="28"/>
          <w:szCs w:val="28"/>
        </w:rPr>
        <w:t xml:space="preserve">TPRM User Management</w:t>
      </w:r>
    </w:p>
    <w:p>
      <w:pPr>
        <w:spacing w:after="12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Manage TPRM users and role assignments within the organization.</w:t>
      </w:r>
    </w:p>
    <w:p>
      <w:pPr>
        <w:spacing w:after="200" w:before="200"/>
        <w:jc w:val="center"/>
      </w:pPr>
      <w:r>
        <w:drawing>
          <wp:inline distT="0" distB="0" distL="0" distR="0">
            <wp:extent cx="5524500" cy="3238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rPr>
          <w:rFonts w:ascii="Calibri" w:cs="Calibri" w:eastAsia="Calibri" w:hAnsi="Calibri"/>
          <w:i/>
          <w:iCs/>
          <w:color w:val="1e293b"/>
          <w:sz w:val="22"/>
          <w:szCs w:val="22"/>
        </w:rPr>
        <w:t xml:space="preserve">Figure: TPRM User Management page view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2563eb"/>
          <w:sz w:val="24"/>
          <w:szCs w:val="24"/>
        </w:rPr>
        <w:t xml:space="preserve">Features &amp; Capabilities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Create, edit, delete TPRM users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Assign TPRM roles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Department assignment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User activation and deactivation</w:t>
      </w:r>
    </w:p>
    <w:p>
      <w:pPr>
        <w:spacing w:after="200"/>
      </w:pP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2563eb"/>
          <w:sz w:val="24"/>
          <w:szCs w:val="24"/>
        </w:rPr>
        <w:t xml:space="preserve">Navigation Path</w:t>
      </w:r>
    </w:p>
    <w:p>
      <w:pPr>
        <w:spacing w:after="12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Sidebar → TPRM → User Management</w:t>
      </w:r>
    </w:p>
    <w:p>
      <w:pPr>
        <w:spacing w:after="200"/>
      </w:pP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1e293b"/>
          <w:sz w:val="28"/>
          <w:szCs w:val="28"/>
        </w:rPr>
        <w:t xml:space="preserve">BO User Management</w:t>
      </w:r>
    </w:p>
    <w:p>
      <w:pPr>
        <w:spacing w:after="12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Business Owner user management for their team.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2563eb"/>
          <w:sz w:val="24"/>
          <w:szCs w:val="24"/>
        </w:rPr>
        <w:t xml:space="preserve">Features &amp; Capabilities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Manage team users within business unit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Role assignment</w:t>
      </w:r>
    </w:p>
    <w:p>
      <w:pPr>
        <w:spacing w:after="200"/>
      </w:pP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2563eb"/>
          <w:sz w:val="24"/>
          <w:szCs w:val="24"/>
        </w:rPr>
        <w:t xml:space="preserve">Navigation Path</w:t>
      </w:r>
    </w:p>
    <w:p>
      <w:pPr>
        <w:spacing w:after="12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Sidebar → TPRM → BO → User Management</w:t>
      </w:r>
    </w:p>
    <w:p>
      <w:pPr>
        <w:spacing w:after="200"/>
      </w:pP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1e293b"/>
          <w:sz w:val="28"/>
          <w:szCs w:val="28"/>
        </w:rPr>
        <w:t xml:space="preserve">Factory User Management</w:t>
      </w:r>
    </w:p>
    <w:p>
      <w:pPr>
        <w:spacing w:after="12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Factory Administrator user management for factory teams.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2563eb"/>
          <w:sz w:val="24"/>
          <w:szCs w:val="24"/>
        </w:rPr>
        <w:t xml:space="preserve">Features &amp; Capabilities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Manage factory team users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Assign FactoryAdmin/FactoryAssessor roles</w:t>
      </w:r>
    </w:p>
    <w:p>
      <w:pPr>
        <w:spacing w:after="200"/>
      </w:pP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2563eb"/>
          <w:sz w:val="24"/>
          <w:szCs w:val="24"/>
        </w:rPr>
        <w:t xml:space="preserve">Navigation Path</w:t>
      </w:r>
    </w:p>
    <w:p>
      <w:pPr>
        <w:spacing w:after="12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Sidebar → TPRM → Factory → User Management</w:t>
      </w:r>
    </w:p>
    <w:p>
      <w:pPr>
        <w:spacing w:after="200"/>
      </w:pPr>
    </w:p>
    <w:p>
      <w:r>
        <w:br w:type="page"/>
      </w:r>
    </w:p>
    <w:p>
      <w:pPr>
        <w:pStyle w:val="Heading1"/>
        <w:pBdr>
          <w:bottom w:val="single" w:color="1e40af" w:sz="6" w:space="4"/>
        </w:pBdr>
        <w:spacing w:after="200" w:before="400"/>
      </w:pPr>
      <w:r>
        <w:rPr>
          <w:rFonts w:ascii="Calibri" w:cs="Calibri" w:eastAsia="Calibri" w:hAnsi="Calibri"/>
          <w:b/>
          <w:bCs/>
          <w:color w:val="1e40af"/>
          <w:sz w:val="36"/>
          <w:szCs w:val="36"/>
        </w:rPr>
        <w:t xml:space="preserve">Reports</w:t>
      </w:r>
    </w:p>
    <w:p>
      <w:pPr>
        <w:spacing w:after="12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Generate comprehensive TPRM reports for management review, audit purposes, and regulatory compliance.</w:t>
      </w:r>
    </w:p>
    <w:p>
      <w:pPr>
        <w:spacing w:after="200"/>
      </w:pP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1e293b"/>
          <w:sz w:val="28"/>
          <w:szCs w:val="28"/>
        </w:rPr>
        <w:t xml:space="preserve">TPRM Reports</w:t>
      </w:r>
    </w:p>
    <w:p>
      <w:pPr>
        <w:spacing w:after="12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Generate and view TPRM reports including vendor risk summaries, assessment completion reports, issue resolution tracking, and historical trends.</w:t>
      </w:r>
    </w:p>
    <w:p>
      <w:pPr>
        <w:spacing w:after="200" w:before="200"/>
        <w:jc w:val="center"/>
      </w:pPr>
      <w:r>
        <w:drawing>
          <wp:inline distT="0" distB="0" distL="0" distR="0">
            <wp:extent cx="5524500" cy="3238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rPr>
          <w:rFonts w:ascii="Calibri" w:cs="Calibri" w:eastAsia="Calibri" w:hAnsi="Calibri"/>
          <w:i/>
          <w:iCs/>
          <w:color w:val="1e293b"/>
          <w:sz w:val="22"/>
          <w:szCs w:val="22"/>
        </w:rPr>
        <w:t xml:space="preserve">Figure: TPRM Reports page view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2563eb"/>
          <w:sz w:val="24"/>
          <w:szCs w:val="24"/>
        </w:rPr>
        <w:t xml:space="preserve">Features &amp; Capabilities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Vendor risk assessment reports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Assessment completion summary reports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Issue and remediation status reports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Export reports for stakeholder distribution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Historical trend analysis</w:t>
      </w:r>
    </w:p>
    <w:p>
      <w:pPr>
        <w:spacing w:after="200"/>
      </w:pP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2563eb"/>
          <w:sz w:val="24"/>
          <w:szCs w:val="24"/>
        </w:rPr>
        <w:t xml:space="preserve">Navigation Path</w:t>
      </w:r>
    </w:p>
    <w:p>
      <w:pPr>
        <w:spacing w:after="12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Sidebar → TPRM → Reports</w:t>
      </w:r>
    </w:p>
    <w:p>
      <w:pPr>
        <w:spacing w:after="200"/>
      </w:pP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1e293b"/>
          <w:sz w:val="28"/>
          <w:szCs w:val="28"/>
        </w:rPr>
        <w:t xml:space="preserve">Assessment Factory Reports</w:t>
      </w:r>
    </w:p>
    <w:p>
      <w:pPr>
        <w:spacing w:after="12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Reports on assessment factory history and batch assessment results.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2563eb"/>
          <w:sz w:val="24"/>
          <w:szCs w:val="24"/>
        </w:rPr>
        <w:t xml:space="preserve">Features &amp; Capabilities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Assessment factory batch history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Batch assessment completion status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Factory assessment analytics</w:t>
      </w:r>
    </w:p>
    <w:p>
      <w:pPr>
        <w:spacing w:after="200"/>
      </w:pP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2563eb"/>
          <w:sz w:val="24"/>
          <w:szCs w:val="24"/>
        </w:rPr>
        <w:t xml:space="preserve">Navigation Path</w:t>
      </w:r>
    </w:p>
    <w:p>
      <w:pPr>
        <w:spacing w:after="12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Sidebar → TPRM → Assessor → Assessment History</w:t>
      </w:r>
    </w:p>
    <w:p>
      <w:pPr>
        <w:spacing w:after="200"/>
      </w:pPr>
    </w:p>
    <w:p>
      <w:r>
        <w:br w:type="page"/>
      </w:r>
    </w:p>
    <w:p>
      <w:pPr>
        <w:pStyle w:val="Heading1"/>
        <w:pBdr>
          <w:bottom w:val="single" w:color="1e40af" w:sz="6" w:space="4"/>
        </w:pBdr>
        <w:spacing w:after="200" w:before="400"/>
      </w:pPr>
      <w:r>
        <w:rPr>
          <w:rFonts w:ascii="Calibri" w:cs="Calibri" w:eastAsia="Calibri" w:hAnsi="Calibri"/>
          <w:b/>
          <w:bCs/>
          <w:color w:val="1e40af"/>
          <w:sz w:val="36"/>
          <w:szCs w:val="36"/>
        </w:rPr>
        <w:t xml:space="preserve">Permissions Reference</w:t>
      </w:r>
    </w:p>
    <w:p>
      <w:pPr>
        <w:spacing w:after="12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Each role has specific permissions that determine what actions they can perform. The permission system uses a resource:action pattern.</w:t>
      </w:r>
    </w:p>
    <w:p>
      <w:pPr>
        <w:spacing w:after="200"/>
      </w:pP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1e293b"/>
          <w:sz w:val="28"/>
          <w:szCs w:val="28"/>
        </w:rPr>
        <w:t xml:space="preserve">Actions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view — Read-only access to see data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create — Ability to create new records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edit — Ability to modify existing records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delete — Ability to remove records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approve — Ability to approve/reject submissions</w:t>
      </w:r>
    </w:p>
    <w:p>
      <w:pPr>
        <w:spacing w:after="200"/>
      </w:pP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1e293b"/>
          <w:sz w:val="28"/>
          <w:szCs w:val="28"/>
        </w:rPr>
        <w:t xml:space="preserve">Permission Scopes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Global — Access to all records across the organization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Department — Access limited to records within the user's department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Own — Access limited to records owned by or assigned to the user</w:t>
      </w:r>
    </w:p>
    <w:p>
      <w:pPr>
        <w:spacing w:after="200"/>
      </w:pP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1e293b"/>
          <w:sz w:val="28"/>
          <w:szCs w:val="28"/>
        </w:rPr>
        <w:t xml:space="preserve">How Permissions Work</w:t>
      </w:r>
    </w:p>
    <w:p>
      <w:pPr>
        <w:spacing w:after="12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When you log in, your assigned role determines which sidebar menu items are visible and which actions you can perform on each page. If a menu item or button is not visible, it means your role does not have the required permission.</w:t>
      </w:r>
    </w:p>
    <w:p>
      <w:pPr>
        <w:spacing w:after="12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Permissions are enforced at both the UI level (hiding unavailable options) and the API level (blocking unauthorized requests). This ensures data security regardless of how the application is accessed.</w:t>
      </w:r>
    </w:p>
    <w:p>
      <w:r>
        <w:br w:type="page"/>
      </w:r>
    </w:p>
    <w:p>
      <w:pPr>
        <w:pStyle w:val="Heading1"/>
        <w:pBdr>
          <w:bottom w:val="single" w:color="1e40af" w:sz="6" w:space="4"/>
        </w:pBdr>
        <w:spacing w:after="200" w:before="400"/>
      </w:pPr>
      <w:r>
        <w:rPr>
          <w:rFonts w:ascii="Calibri" w:cs="Calibri" w:eastAsia="Calibri" w:hAnsi="Calibri"/>
          <w:b/>
          <w:bCs/>
          <w:color w:val="1e40af"/>
          <w:sz w:val="36"/>
          <w:szCs w:val="36"/>
        </w:rPr>
        <w:t xml:space="preserve">Glossary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2563eb"/>
          <w:sz w:val="24"/>
          <w:szCs w:val="24"/>
        </w:rPr>
        <w:t xml:space="preserve">TPRM</w:t>
      </w:r>
    </w:p>
    <w:p>
      <w:pPr>
        <w:spacing w:after="12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Third Party Risk Management — systematic process of analyzing and managing risks associated with outsourcing to third-party vendors.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2563eb"/>
          <w:sz w:val="24"/>
          <w:szCs w:val="24"/>
        </w:rPr>
        <w:t xml:space="preserve">VRR</w:t>
      </w:r>
    </w:p>
    <w:p>
      <w:pPr>
        <w:spacing w:after="12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Vendor Risk Rating — overall risk classification of a vendor, rated as Nominal, Low, Moderate, High, or Critical.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2563eb"/>
          <w:sz w:val="24"/>
          <w:szCs w:val="24"/>
        </w:rPr>
        <w:t xml:space="preserve">CAIQ</w:t>
      </w:r>
    </w:p>
    <w:p>
      <w:pPr>
        <w:spacing w:after="12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Consensus Assessments Initiative Questionnaire — standardized questionnaire for assessing cloud service provider security, organized by domains.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2563eb"/>
          <w:sz w:val="24"/>
          <w:szCs w:val="24"/>
        </w:rPr>
        <w:t xml:space="preserve">Assessment</w:t>
      </w:r>
    </w:p>
    <w:p>
      <w:pPr>
        <w:spacing w:after="12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Formal evaluation of a vendor's security and compliance posture through structured questionnaire-based review.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2563eb"/>
          <w:sz w:val="24"/>
          <w:szCs w:val="24"/>
        </w:rPr>
        <w:t xml:space="preserve">Remediation</w:t>
      </w:r>
    </w:p>
    <w:p>
      <w:pPr>
        <w:spacing w:after="12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Corrective action taken to address identified issues or vulnerabilities found during vendor assessments.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2563eb"/>
          <w:sz w:val="24"/>
          <w:szCs w:val="24"/>
        </w:rPr>
        <w:t xml:space="preserve">Monitoring Scan</w:t>
      </w:r>
    </w:p>
    <w:p>
      <w:pPr>
        <w:spacing w:after="12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Automated security assessment of a vendor using AI-powered web intelligence gathering across 17+ targeted searches.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2563eb"/>
          <w:sz w:val="24"/>
          <w:szCs w:val="24"/>
        </w:rPr>
        <w:t xml:space="preserve">KPI (Monitoring)</w:t>
      </w:r>
    </w:p>
    <w:p>
      <w:pPr>
        <w:spacing w:after="12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Key Performance Indicator in vendor monitoring — measures like Network Security, DNS Health, SSL/TLS Config, etc., scored 0-100.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2563eb"/>
          <w:sz w:val="24"/>
          <w:szCs w:val="24"/>
        </w:rPr>
        <w:t xml:space="preserve">Inherent Risk</w:t>
      </w:r>
    </w:p>
    <w:p>
      <w:pPr>
        <w:spacing w:after="12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Risk level before any controls or mitigations are applied.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2563eb"/>
          <w:sz w:val="24"/>
          <w:szCs w:val="24"/>
        </w:rPr>
        <w:t xml:space="preserve">Residual Risk</w:t>
      </w:r>
    </w:p>
    <w:p>
      <w:pPr>
        <w:spacing w:after="12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Risk level remaining after controls and mitigations are applied.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2563eb"/>
          <w:sz w:val="24"/>
          <w:szCs w:val="24"/>
        </w:rPr>
        <w:t xml:space="preserve">Domain</w:t>
      </w:r>
    </w:p>
    <w:p>
      <w:pPr>
        <w:spacing w:after="12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Specific area of assessment (e.g., Data Security, Access Control, Business Continuity).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2563eb"/>
          <w:sz w:val="24"/>
          <w:szCs w:val="24"/>
        </w:rPr>
        <w:t xml:space="preserve">Offboarding</w:t>
      </w:r>
    </w:p>
    <w:p>
      <w:pPr>
        <w:spacing w:after="12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Process of terminating a vendor relationship, including contract closure and final assessment.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2563eb"/>
          <w:sz w:val="24"/>
          <w:szCs w:val="24"/>
        </w:rPr>
        <w:t xml:space="preserve">Due Diligence</w:t>
      </w:r>
    </w:p>
    <w:p>
      <w:pPr>
        <w:spacing w:after="12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Systematic investigation of a vendor before and during the engagement to assess risk.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2563eb"/>
          <w:sz w:val="24"/>
          <w:szCs w:val="24"/>
        </w:rPr>
        <w:t xml:space="preserve">Scorecard</w:t>
      </w:r>
    </w:p>
    <w:p>
      <w:pPr>
        <w:spacing w:after="12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Quantitative summary of a vendor's security posture across multiple KPIs.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2563eb"/>
          <w:sz w:val="24"/>
          <w:szCs w:val="24"/>
        </w:rPr>
        <w:t xml:space="preserve">Assessment Factory</w:t>
      </w:r>
    </w:p>
    <w:p>
      <w:pPr>
        <w:spacing w:after="12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Batch mechanism for creating multiple vendor assessments simultaneously.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2563eb"/>
          <w:sz w:val="24"/>
          <w:szCs w:val="24"/>
        </w:rPr>
        <w:t xml:space="preserve">SME</w:t>
      </w:r>
    </w:p>
    <w:p>
      <w:pPr>
        <w:spacing w:after="12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Subject Matter Expert — specialist who provides domain-specific expertise during vendor assessments.</w:t>
      </w:r>
    </w:p>
    <w:p>
      <w:r>
        <w:br w:type="page"/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64748b"/>
        <w:sz w:val="16"/>
        <w:szCs w:val="16"/>
      </w:rPr>
      <w:t xml:space="preserve">Confidential — Glimmora International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i/>
        <w:iCs/>
        <w:color w:val="64748b"/>
        <w:sz w:val="16"/>
        <w:szCs w:val="16"/>
      </w:rPr>
      <w:t xml:space="preserve">TPRM FactoryAdmin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e293b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9081cf96e110257a9ad3bd41976c6a481ea76b36.png"/><Relationship Id="rId10" Type="http://schemas.openxmlformats.org/officeDocument/2006/relationships/image" Target="media/9cebc8af346ee5f41b88edf2a02a9122ecd4d234.png"/><Relationship Id="rId11" Type="http://schemas.openxmlformats.org/officeDocument/2006/relationships/image" Target="media/e90fc0a1bd73950274472fdb97924740fc2bb52e.png"/><Relationship Id="rId12" Type="http://schemas.openxmlformats.org/officeDocument/2006/relationships/image" Target="media/36efedf2c6816342729570427f850673fd512bb9.png"/><Relationship Id="rId13" Type="http://schemas.openxmlformats.org/officeDocument/2006/relationships/image" Target="media/f28e20b092fb90a24b1aacc73dd7ab1be0f6d403.png"/><Relationship Id="rId14" Type="http://schemas.openxmlformats.org/officeDocument/2006/relationships/image" Target="media/c9a9eb65a76d6bc1bfac04e82a0712d01925bbbe.png"/><Relationship Id="rId15" Type="http://schemas.openxmlformats.org/officeDocument/2006/relationships/image" Target="media/f0bbf6d21da5a4637528d4d75e9f61c93ccf74a8.png"/><Relationship Id="rId16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2026-03-12T08:05:43.446Z</dcterms:created>
  <dcterms:modified xsi:type="dcterms:W3CDTF">2026-03-12T08:05:43.446Z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