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400"/>
        <w:jc w:val="center"/>
      </w:pPr>
      <w:r>
        <w:rPr>
          <w:rFonts w:ascii="Calibri" w:cs="Calibri" w:eastAsia="Calibri" w:hAnsi="Calibri"/>
          <w:b/>
          <w:bCs/>
          <w:color w:val="1e40af"/>
          <w:sz w:val="56"/>
          <w:szCs w:val="56"/>
        </w:rPr>
        <w:t xml:space="preserve">TPRM Module</w:t>
      </w:r>
    </w:p>
    <w:p>
      <w:pPr>
        <w:spacing w:after="200"/>
        <w:jc w:val="center"/>
      </w:pPr>
      <w:r>
        <w:rPr>
          <w:rFonts w:ascii="Calibri" w:cs="Calibri" w:eastAsia="Calibri" w:hAnsi="Calibri"/>
          <w:color w:val="64748b"/>
          <w:sz w:val="28"/>
          <w:szCs w:val="28"/>
        </w:rPr>
        <w:t xml:space="preserve">User Manual — TPRM Auditor</w:t>
      </w:r>
    </w:p>
    <w:p>
      <w:pPr>
        <w:spacing w:after="200"/>
      </w:pPr>
    </w:p>
    <w:p>
      <w:pPr>
        <w:spacing w:after="12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Glimmora International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Generated: March 12, 2026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Version 1.0</w:t>
      </w:r>
    </w:p>
    <w:p>
      <w:pPr>
        <w:spacing w:after="200"/>
      </w:pPr>
    </w:p>
    <w:p>
      <w:pPr>
        <w:spacing w:after="120"/>
        <w:ind w:left="360"/>
      </w:pPr>
      <w:r>
        <w:rPr>
          <w:rFonts w:ascii="Calibri" w:cs="Calibri" w:eastAsia="Calibri" w:hAnsi="Calibri"/>
          <w:b/>
          <w:bCs/>
          <w:color w:val="2563eb"/>
          <w:sz w:val="22"/>
          <w:szCs w:val="22"/>
        </w:rPr>
        <w:t xml:space="preserve">Note: </w:t>
      </w:r>
      <w:r>
        <w:rPr>
          <w:rFonts w:ascii="Calibri" w:cs="Calibri" w:eastAsia="Calibri" w:hAnsi="Calibri"/>
          <w:i/>
          <w:iCs/>
          <w:color w:val="64748b"/>
          <w:sz w:val="22"/>
          <w:szCs w:val="22"/>
        </w:rPr>
        <w:t xml:space="preserve">This document is auto-generated and confidential. Do not distribute without authorization.</w:t>
      </w:r>
    </w:p>
    <w:p>
      <w:r>
        <w:br w:type="page"/>
      </w:r>
    </w:p>
    <w:p>
      <w:pPr>
        <w:pStyle w:val="Heading1"/>
        <w:pBdr>
          <w:bottom w:val="single" w:color="1e40af" w:sz="6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e40af"/>
          <w:sz w:val="36"/>
          <w:szCs w:val="36"/>
        </w:rPr>
        <w:t xml:space="preserve">Getting Started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Logging In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To access the application: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Open your web browser and navigate to the application URL provided by your administrator.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Enter your username and password on the login page.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Click "Sign In" to access the application.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Upon successful login, you will be redirected to your default dashboard.</w:t>
      </w:r>
    </w:p>
    <w:p>
      <w:pPr>
        <w:spacing w:after="200"/>
      </w:pPr>
    </w:p>
    <w:p>
      <w:pPr>
        <w:spacing w:after="200" w:before="200"/>
        <w:jc w:val="center"/>
      </w:pPr>
      <w:r>
        <w:drawing>
          <wp:inline distT="0" distB="0" distL="0" distR="0">
            <wp:extent cx="47625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1e293b"/>
          <w:sz w:val="22"/>
          <w:szCs w:val="22"/>
        </w:rPr>
        <w:t xml:space="preserve">Figure: Login page</w:t>
      </w:r>
    </w:p>
    <w:p>
      <w:pPr>
        <w:spacing w:after="20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Navigation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The TPRM module uses a sidebar navigation menu on the left side of the screen. Each menu item corresponds to a functional area. Your visible menu items depend on your assigned role and permissions.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Key navigation elements: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Sidebar menu — Primary navigation to all accessible pages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Breadcrumb trail — Shows your current location within the application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Header bar — Contains user profile, notifications, and language switcher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Language selector — Switch between English, Arabic (RTL), and Latvian</w:t>
      </w:r>
    </w:p>
    <w:p>
      <w:pPr>
        <w:spacing w:after="20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Multi-Language Support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The application supports three languages: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English (default) — Left-to-right layout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Arabic — Right-to-left (RTL) layout with full UI mirroring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Latvian — Left-to-right layout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To change the language, use the language selector in the header. All labels, buttons, and system text will be translated. User-entered data (vendor names, risk descriptions, etc.) is also translated dynamically when records are created or edited.</w:t>
      </w:r>
    </w:p>
    <w:p>
      <w:pPr>
        <w:spacing w:after="20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Common UI Patterns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Throughout the application, you will encounter these common interface patterns: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Data tables — Sortable, filterable lists with pagination and search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Dialog forms — Modal forms for creating and editing records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Accordion views — Expandable/collapsible sections for detailed information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Status badges — Color-coded labels indicating record status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Action buttons — Create, Edit, Delete, Export, and role-specific actions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Toast notifications — Brief success/error messages after actions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Charts — Bar charts, pie charts, and progress indicators on dashboards</w:t>
      </w:r>
    </w:p>
    <w:p>
      <w:r>
        <w:br w:type="page"/>
      </w:r>
    </w:p>
    <w:p>
      <w:pPr>
        <w:pStyle w:val="Heading1"/>
        <w:pBdr>
          <w:bottom w:val="single" w:color="1e40af" w:sz="6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e40af"/>
          <w:sz w:val="36"/>
          <w:szCs w:val="36"/>
        </w:rPr>
        <w:t xml:space="preserve">Role: TPRM Auditor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Audits the TPRM process and vendor assessment quality. Has read-only access to assessments, issues, vendor data, monitoring, and reports for independent audit review.</w:t>
      </w:r>
    </w:p>
    <w:p>
      <w:pPr>
        <w:spacing w:after="20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Accessible Modules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Assessor Dashboard (view)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Vendor Inventory (view)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Assessments (view)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Issue Register (view)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Monitoring (view)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Follow-ups (view)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Factory Reports (view)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Reports</w:t>
      </w:r>
    </w:p>
    <w:p>
      <w:pPr>
        <w:spacing w:after="20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Key Capabilities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View all vendor records and assessment details (read-only)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Audit assessment quality and completeness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Review issue register and remediation status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View monitoring scorecard and scan results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View assessment factory history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Generate audit-focused reports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Independent review without edit capabilities</w:t>
      </w:r>
    </w:p>
    <w:p>
      <w:r>
        <w:br w:type="page"/>
      </w:r>
    </w:p>
    <w:p>
      <w:pPr>
        <w:pStyle w:val="Heading1"/>
        <w:pBdr>
          <w:bottom w:val="single" w:color="1e40af" w:sz="6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e40af"/>
          <w:sz w:val="36"/>
          <w:szCs w:val="36"/>
        </w:rPr>
        <w:t xml:space="preserve">Dashboard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Role-specific dashboards providing at-a-glance views of vendor risk posture, assessment progress, and issue status through interactive charts and analytics.</w:t>
      </w:r>
    </w:p>
    <w:p>
      <w:pPr>
        <w:spacing w:after="20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RM Dashboard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Relationship Manager dashboard showing vendor criticality distribution and assessment status across all managed vendors.</w:t>
      </w:r>
    </w:p>
    <w:p>
      <w:pPr>
        <w:spacing w:after="200" w:before="200"/>
        <w:jc w:val="center"/>
      </w:pPr>
      <w:r>
        <w:drawing>
          <wp:inline distT="0" distB="0" distL="0" distR="0">
            <wp:extent cx="5524500" cy="3238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1e293b"/>
          <w:sz w:val="22"/>
          <w:szCs w:val="22"/>
        </w:rPr>
        <w:t xml:space="preserve">Figure: RM Dashboard page view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Features &amp; Capabilities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Vendor Criticality bar chart (Nominal, Low, Moderate, High, Critical) with color coding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Assessment Status bar chart (Initiated, In Progress, Completed)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Interactive tooltips with vendor/assessment counts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Auto-refresh on page load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"No Data to Display" message when no vendors exist</w:t>
      </w:r>
    </w:p>
    <w:p>
      <w:pPr>
        <w:spacing w:after="200"/>
      </w:pP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Navigation Path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Sidebar → TPRM → RM → Dashboard</w:t>
      </w:r>
    </w:p>
    <w:p>
      <w:pPr>
        <w:spacing w:after="20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BO Dashboard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Business Owner dashboard showing vendor criticality and assessment status for vendors in the business unit.</w:t>
      </w:r>
    </w:p>
    <w:p>
      <w:pPr>
        <w:spacing w:after="200" w:before="200"/>
        <w:jc w:val="center"/>
      </w:pPr>
      <w:r>
        <w:drawing>
          <wp:inline distT="0" distB="0" distL="0" distR="0">
            <wp:extent cx="5524500" cy="3238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1e293b"/>
          <w:sz w:val="22"/>
          <w:szCs w:val="22"/>
        </w:rPr>
        <w:t xml:space="preserve">Figure: BO Dashboard page view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Features &amp; Capabilities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Vendor Criticality bar chart (Nominal, Low, Moderate, High, Critical) with color coding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Assessment Status bar chart (Initiated, In Progress, Completed)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Interactive tooltips with counts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Auto-refresh on page load</w:t>
      </w:r>
    </w:p>
    <w:p>
      <w:pPr>
        <w:spacing w:after="200"/>
      </w:pP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Navigation Path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Sidebar → TPRM → BO → Dashboard</w:t>
      </w:r>
    </w:p>
    <w:p>
      <w:pPr>
        <w:spacing w:after="20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Assessor Dashboard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Comprehensive assessor dashboard with 6 analytical charts covering issues, assessments, risks, results, top vendors, and domain distribution.</w:t>
      </w:r>
    </w:p>
    <w:p>
      <w:pPr>
        <w:spacing w:after="200" w:before="200"/>
        <w:jc w:val="center"/>
      </w:pPr>
      <w:r>
        <w:drawing>
          <wp:inline distT="0" distB="0" distL="0" distR="0">
            <wp:extent cx="5524500" cy="3238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1e293b"/>
          <w:sz w:val="22"/>
          <w:szCs w:val="22"/>
        </w:rPr>
        <w:t xml:space="preserve">Figure: Assessor Dashboard page view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Features &amp; Capabilities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Issue Status bar chart (Open, Overdue, Closed) — maps DB statuses to 3 buckets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Assessment Progress bar chart (Initiated, In Progress, Completed)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Inherent Risk pie chart (High, Medium, Low) — mapped from VRR levels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Assessment Result pie chart (Satisfactory, Unsatisfactory, Deficient)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Top 5 Vendors stacked bar chart by severity (High, Medium, Low)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Domain distribution horizontal bar chart (top 10 domains by issue count, strips CUST. prefix)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Empty state handling for each chart</w:t>
      </w:r>
    </w:p>
    <w:p>
      <w:pPr>
        <w:spacing w:after="200"/>
      </w:pP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Navigation Path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Sidebar → TPRM → Assessor → Dashboard</w:t>
      </w:r>
    </w:p>
    <w:p>
      <w:pPr>
        <w:spacing w:after="200"/>
      </w:pPr>
    </w:p>
    <w:p>
      <w:r>
        <w:br w:type="page"/>
      </w:r>
    </w:p>
    <w:p>
      <w:pPr>
        <w:pStyle w:val="Heading1"/>
        <w:pBdr>
          <w:bottom w:val="single" w:color="1e40af" w:sz="6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e40af"/>
          <w:sz w:val="36"/>
          <w:szCs w:val="36"/>
        </w:rPr>
        <w:t xml:space="preserve">Vendor Management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Core vendor lifecycle management including creation, inventory management, risk profiling, contract management, and vendor offboarding across different role perspectives.</w:t>
      </w:r>
    </w:p>
    <w:p>
      <w:pPr>
        <w:spacing w:after="20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Vendor Management (Admin)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Full vendor management with accordion-based UI showing vendor details, risk profiles, security monitoring scores, and contract information.</w:t>
      </w:r>
    </w:p>
    <w:p>
      <w:pPr>
        <w:spacing w:after="200" w:before="200"/>
        <w:jc w:val="center"/>
      </w:pPr>
      <w:r>
        <w:drawing>
          <wp:inline distT="0" distB="0" distL="0" distR="0">
            <wp:extent cx="5524500" cy="3238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1e293b"/>
          <w:sz w:val="22"/>
          <w:szCs w:val="22"/>
        </w:rPr>
        <w:t xml:space="preserve">Figure: Vendor Management (Admin) page view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Features &amp; Capabilities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Accordion vendor list with expandable details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Create vendor form with 6 sections and 25+ fields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Vendor sections: Info, Contact, Service Category, Department, Risk Profile, Contract Dates, Certifications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Vendor Risk Profile toggles: Access to Network, Cloud, Access to Data, PII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Security Monitoring display: Overall Score, Security Posture, Threat Exposure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Export individual vendor or bulk CSV export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Edit and delete vendors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Option to trigger monitoring scan on vendor creation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Dynamic translation support</w:t>
      </w:r>
    </w:p>
    <w:p>
      <w:pPr>
        <w:spacing w:after="200"/>
      </w:pP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Navigation Path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Sidebar → TPRM → Vendor Management</w:t>
      </w:r>
    </w:p>
    <w:p>
      <w:pPr>
        <w:spacing w:after="20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RM Vendor Inventory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Relationship Manager's view of all vendors with risk ratings, status, and assessment information. Create, edit, and manage vendor records.</w:t>
      </w:r>
    </w:p>
    <w:p>
      <w:pPr>
        <w:spacing w:after="200" w:before="200"/>
        <w:jc w:val="center"/>
      </w:pPr>
      <w:r>
        <w:drawing>
          <wp:inline distT="0" distB="0" distL="0" distR="0">
            <wp:extent cx="5524500" cy="3238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1e293b"/>
          <w:sz w:val="22"/>
          <w:szCs w:val="22"/>
        </w:rPr>
        <w:t xml:space="preserve">Figure: RM Vendor Inventory page view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Features &amp; Capabilities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List all vendors with risk rating (VRR), status, and assessment info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Create new vendor (name, domain, vendor code, description)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Edit vendor details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Delete vendors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View vendor risk rating: Nominal, Low, Moderate, High, Critical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Initiate vendor assessments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View assessment history per vendor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Filter and search vendors</w:t>
      </w:r>
    </w:p>
    <w:p>
      <w:pPr>
        <w:spacing w:after="200"/>
      </w:pP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Navigation Path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Sidebar → TPRM → RM → Vendor Inventory</w:t>
      </w:r>
    </w:p>
    <w:p>
      <w:pPr>
        <w:spacing w:after="20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BO Vendor Inventory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Business Owner's view of vendors within their business unit. Complex UI with nested accordion, create/edit forms, and contract management.</w:t>
      </w:r>
    </w:p>
    <w:p>
      <w:pPr>
        <w:spacing w:after="200" w:before="200"/>
        <w:jc w:val="center"/>
      </w:pPr>
      <w:r>
        <w:drawing>
          <wp:inline distT="0" distB="0" distL="0" distR="0">
            <wp:extent cx="5524500" cy="3238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1e293b"/>
          <w:sz w:val="22"/>
          <w:szCs w:val="22"/>
        </w:rPr>
        <w:t xml:space="preserve">Figure: BO Vendor Inventory page view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Features &amp; Capabilities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Nested accordion with vendor details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Create/edit dialog with multi-section form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Contract management: download/upload documents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CSV bulk export capability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Vendor Risk Profile toggles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View vendor details and risk ratings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View assessment status and history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Filter and search</w:t>
      </w:r>
    </w:p>
    <w:p>
      <w:pPr>
        <w:spacing w:after="200"/>
      </w:pP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Navigation Path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Sidebar → TPRM → BO → Vendor Inventory</w:t>
      </w:r>
    </w:p>
    <w:p>
      <w:pPr>
        <w:spacing w:after="20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Assessor Vendor Inventory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Assessor's read-only view of vendors assigned for assessment, focusing on assessment workload and status.</w:t>
      </w:r>
    </w:p>
    <w:p>
      <w:pPr>
        <w:spacing w:after="200" w:before="200"/>
        <w:jc w:val="center"/>
      </w:pPr>
      <w:r>
        <w:drawing>
          <wp:inline distT="0" distB="0" distL="0" distR="0">
            <wp:extent cx="5524500" cy="3238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1e293b"/>
          <w:sz w:val="22"/>
          <w:szCs w:val="22"/>
        </w:rPr>
        <w:t xml:space="preserve">Figure: Assessor Vendor Inventory page view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Features &amp; Capabilities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List vendors assigned for assessment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View vendor details and current risk rating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Access assessment forms for assigned vendors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Track assessment completion status</w:t>
      </w:r>
    </w:p>
    <w:p>
      <w:pPr>
        <w:spacing w:after="200"/>
      </w:pP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Navigation Path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Sidebar → TPRM → Assessor → Inventory</w:t>
      </w:r>
    </w:p>
    <w:p>
      <w:pPr>
        <w:spacing w:after="200"/>
      </w:pPr>
    </w:p>
    <w:p>
      <w:r>
        <w:br w:type="page"/>
      </w:r>
    </w:p>
    <w:p>
      <w:pPr>
        <w:pStyle w:val="Heading1"/>
        <w:pBdr>
          <w:bottom w:val="single" w:color="1e40af" w:sz="6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e40af"/>
          <w:sz w:val="36"/>
          <w:szCs w:val="36"/>
        </w:rPr>
        <w:t xml:space="preserve">Assessment Management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Create, conduct, and manage vendor risk assessments using questionnaire-based approaches (CAIQ). Supports assessment lifecycle from creation through completion and approval.</w:t>
      </w:r>
    </w:p>
    <w:p>
      <w:pPr>
        <w:spacing w:after="20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RM Assessments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Relationship Manager assessment management. Create assessments, assign assessors, and track the full assessment lifecycle.</w:t>
      </w:r>
    </w:p>
    <w:p>
      <w:pPr>
        <w:spacing w:after="200" w:before="200"/>
        <w:jc w:val="center"/>
      </w:pPr>
      <w:r>
        <w:drawing>
          <wp:inline distT="0" distB="0" distL="0" distR="0">
            <wp:extent cx="5524500" cy="3238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1e293b"/>
          <w:sz w:val="22"/>
          <w:szCs w:val="22"/>
        </w:rPr>
        <w:t xml:space="preserve">Figure: RM Assessments page view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Features &amp; Capabilities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List all assessments with status and assignee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Create new assessment (select vendor, type, assign assessor)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View assessment details and results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Track status: Draft → In Progress → Submitted → Under Review → Approved/Completed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Filter by status, vendor, assessor</w:t>
      </w:r>
    </w:p>
    <w:p>
      <w:pPr>
        <w:spacing w:after="200"/>
      </w:pP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Navigation Path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Sidebar → TPRM → RM → Assessments</w:t>
      </w:r>
    </w:p>
    <w:p>
      <w:pPr>
        <w:spacing w:after="20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BO Assessments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Business Owner assessment view with tabbed interface for Ongoing, Completed, and Offboard assessments with sub-tab navigation.</w:t>
      </w:r>
    </w:p>
    <w:p>
      <w:pPr>
        <w:spacing w:after="200" w:before="200"/>
        <w:jc w:val="center"/>
      </w:pPr>
      <w:r>
        <w:drawing>
          <wp:inline distT="0" distB="0" distL="0" distR="0">
            <wp:extent cx="5524500" cy="3238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1e293b"/>
          <w:sz w:val="22"/>
          <w:szCs w:val="22"/>
        </w:rPr>
        <w:t xml:space="preserve">Figure: BO Assessments page view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Features &amp; Capabilities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Top tabs: Ongoing Assessments, Completed Assessments, Offboard Assessments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Ongoing sub-tabs: Awaiting Response, Pending with Assessor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Offboard sub-tabs: Offboard Approval, Terminated Vendors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Table columns: Assessment ID, Vendor, Type, Status, Initiated, Due Date, Action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Status color coding: Initiated (outline), In-Progress (secondary), Completed (default)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Route to offboard review page for offboarding assessments</w:t>
      </w:r>
    </w:p>
    <w:p>
      <w:pPr>
        <w:spacing w:after="200"/>
      </w:pP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Navigation Path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Sidebar → TPRM → BO → Assessments</w:t>
      </w:r>
    </w:p>
    <w:p>
      <w:pPr>
        <w:spacing w:after="20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AM Assessments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Account Manager assessment view with tabs for Active, Submitted, Past, and Offboard assessments. Start or resume assessments from this page.</w:t>
      </w:r>
    </w:p>
    <w:p>
      <w:pPr>
        <w:spacing w:after="200" w:before="200"/>
        <w:jc w:val="center"/>
      </w:pPr>
      <w:r>
        <w:drawing>
          <wp:inline distT="0" distB="0" distL="0" distR="0">
            <wp:extent cx="5524500" cy="3238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1e293b"/>
          <w:sz w:val="22"/>
          <w:szCs w:val="22"/>
        </w:rPr>
        <w:t xml:space="preserve">Figure: AM Assessments page view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Features &amp; Capabilities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Tabs: Active, Submitted, Past, Offboard assessments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Search: filter by assessment code/vendor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Start (Draft) or Resume assessments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Offboard routing to dedicated offboard questionnaire page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Status color coding: Gray (Draft), Blue (In Progress), Orange (Returned), Purple (Submitted), Indigo (Under Review), Green (Completed)</w:t>
      </w:r>
    </w:p>
    <w:p>
      <w:pPr>
        <w:spacing w:after="200"/>
      </w:pP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Navigation Path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Sidebar → TPRM → AM → Assessments</w:t>
      </w:r>
    </w:p>
    <w:p>
      <w:pPr>
        <w:spacing w:after="20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Assessor Assessments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Assessor's workqueue of assigned assessments. Conduct assessments by answering CAIQ questionnaire questions with AI assistance.</w:t>
      </w:r>
    </w:p>
    <w:p>
      <w:pPr>
        <w:spacing w:after="200" w:before="200"/>
        <w:jc w:val="center"/>
      </w:pPr>
      <w:r>
        <w:drawing>
          <wp:inline distT="0" distB="0" distL="0" distR="0">
            <wp:extent cx="5524500" cy="3238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1e293b"/>
          <w:sz w:val="22"/>
          <w:szCs w:val="22"/>
        </w:rPr>
        <w:t xml:space="preserve">Figure: Assessor Assessments page view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Features &amp; Capabilities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List assessments assigned for completion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Open assessment questionnaire (CAIQ questions by domain)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Answer questions with compliance ratings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Add evidence and notes to individual questions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Submit completed assessments for review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Save draft progress at any time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AI-assisted question answering (Enable AI button)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View vendor details within assessment context</w:t>
      </w:r>
    </w:p>
    <w:p>
      <w:pPr>
        <w:spacing w:after="200"/>
      </w:pP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Navigation Path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Sidebar → TPRM → Assessor → Assessments</w:t>
      </w:r>
    </w:p>
    <w:p>
      <w:pPr>
        <w:spacing w:after="20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Approver Assessments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Approver's view of submitted assessments awaiting review. Review responses, approve or reject with comments.</w:t>
      </w:r>
    </w:p>
    <w:p>
      <w:pPr>
        <w:spacing w:after="200" w:before="200"/>
        <w:jc w:val="center"/>
      </w:pPr>
      <w:r>
        <w:drawing>
          <wp:inline distT="0" distB="0" distL="0" distR="0">
            <wp:extent cx="5524500" cy="3238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1e293b"/>
          <w:sz w:val="22"/>
          <w:szCs w:val="22"/>
        </w:rPr>
        <w:t xml:space="preserve">Figure: Approver Assessments page view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Features &amp; Capabilities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List assessments submitted for approval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Review assessment responses and evidence per question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Approve or reject assessments with review comments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View assessment result summary and overall score</w:t>
      </w:r>
    </w:p>
    <w:p>
      <w:pPr>
        <w:spacing w:after="200"/>
      </w:pP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Navigation Path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Sidebar → TPRM → Approver → Assessments</w:t>
      </w:r>
    </w:p>
    <w:p>
      <w:pPr>
        <w:spacing w:after="20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CAIQ Questions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View the CAIQ questionnaire library organized by domains. Search and filter assessment questions.</w:t>
      </w:r>
    </w:p>
    <w:p>
      <w:pPr>
        <w:spacing w:after="200" w:before="200"/>
        <w:jc w:val="center"/>
      </w:pPr>
      <w:r>
        <w:drawing>
          <wp:inline distT="0" distB="0" distL="0" distR="0">
            <wp:extent cx="5524500" cy="3238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1e293b"/>
          <w:sz w:val="22"/>
          <w:szCs w:val="22"/>
        </w:rPr>
        <w:t xml:space="preserve">Figure: CAIQ Questions page view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Features &amp; Capabilities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List all CAIQ questions organized by domain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View question details (ID, question text, domain)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Search questions by keyword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Filter by domain</w:t>
      </w:r>
    </w:p>
    <w:p>
      <w:pPr>
        <w:spacing w:after="200"/>
      </w:pP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Navigation Path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Sidebar → TPRM → Assessor → CAIQ Questions</w:t>
      </w:r>
    </w:p>
    <w:p>
      <w:pPr>
        <w:spacing w:after="20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Assessment Factory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Batch create and schedule assessments for multiple vendors. Generate assessments at scale.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Features &amp; Capabilities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Batch assessment generation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Scheduled assessment creation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Multi-vendor assessment initiation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Template-based assessment creation</w:t>
      </w:r>
    </w:p>
    <w:p>
      <w:pPr>
        <w:spacing w:after="200"/>
      </w:pP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Navigation Path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Sidebar → TPRM → Assessor → Assessment Factory</w:t>
      </w:r>
    </w:p>
    <w:p>
      <w:pPr>
        <w:spacing w:after="20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Assessment Templates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Manage assessment templates that define the structure and questions for vendor assessments.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Features &amp; Capabilities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Template creation and management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Define assessment structure and questions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Assign templates to assessment types</w:t>
      </w:r>
    </w:p>
    <w:p>
      <w:pPr>
        <w:spacing w:after="200"/>
      </w:pP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Navigation Path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Sidebar → TPRM → Assessor → Template</w:t>
      </w:r>
    </w:p>
    <w:p>
      <w:pPr>
        <w:spacing w:after="200"/>
      </w:pPr>
    </w:p>
    <w:p>
      <w:r>
        <w:br w:type="page"/>
      </w:r>
    </w:p>
    <w:p>
      <w:pPr>
        <w:pStyle w:val="Heading1"/>
        <w:pBdr>
          <w:bottom w:val="single" w:color="1e40af" w:sz="6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e40af"/>
          <w:sz w:val="36"/>
          <w:szCs w:val="36"/>
        </w:rPr>
        <w:t xml:space="preserve">Issue &amp; Remediation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Track and manage issues identified during assessments, assign remediation actions, monitor resolution progress, and manage issue comments.</w:t>
      </w:r>
    </w:p>
    <w:p>
      <w:pPr>
        <w:spacing w:after="20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Assessor Issue Register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Assessor's view of the issue register. View issues grouped by vendor with severity breakdowns (High/Medium/Low). Drill into vendor-specific issues for detailed information.</w:t>
      </w:r>
    </w:p>
    <w:p>
      <w:pPr>
        <w:spacing w:after="200" w:before="200"/>
        <w:jc w:val="center"/>
      </w:pPr>
      <w:r>
        <w:drawing>
          <wp:inline distT="0" distB="0" distL="0" distR="0">
            <wp:extent cx="5524500" cy="3238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1e293b"/>
          <w:sz w:val="22"/>
          <w:szCs w:val="22"/>
        </w:rPr>
        <w:t xml:space="preserve">Figure: Assessor Issue Register page view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Features &amp; Capabilities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Issue register tab: vendors grouped with High/Medium/Low severity counts and totals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Click vendor to see detailed issues list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Issue details: domain, severity, issue description, risk, recommendation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Issue codes and status tracking (Open, Overdue, Closed)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Assessment code linkage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Due date tracking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Question number reference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Remediation comments support</w:t>
      </w:r>
    </w:p>
    <w:p>
      <w:pPr>
        <w:spacing w:after="200"/>
      </w:pP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Navigation Path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Sidebar → TPRM → Assessor → Issue Register</w:t>
      </w:r>
    </w:p>
    <w:p>
      <w:pPr>
        <w:spacing w:after="20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RM Issue Register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Relationship Manager's issue register with full remediation tracking capabilities.</w:t>
      </w:r>
    </w:p>
    <w:p>
      <w:pPr>
        <w:spacing w:after="200" w:before="200"/>
        <w:jc w:val="center"/>
      </w:pPr>
      <w:r>
        <w:drawing>
          <wp:inline distT="0" distB="0" distL="0" distR="0">
            <wp:extent cx="5524500" cy="3238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1e293b"/>
          <w:sz w:val="22"/>
          <w:szCs w:val="22"/>
        </w:rPr>
        <w:t xml:space="preserve">Figure: RM Issue Register page view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Features &amp; Capabilities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List issues with severity, status, and due dates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View issue details and remediation plans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Assign remediation owners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Set due dates for remediation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Track remediation status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Add comments to issues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Export issue register</w:t>
      </w:r>
    </w:p>
    <w:p>
      <w:pPr>
        <w:spacing w:after="200"/>
      </w:pP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Navigation Path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Sidebar → TPRM → RM → Issue Management</w:t>
      </w:r>
    </w:p>
    <w:p>
      <w:pPr>
        <w:spacing w:after="20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BO Issues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Business Owner's issue management view.</w:t>
      </w:r>
    </w:p>
    <w:p>
      <w:pPr>
        <w:spacing w:after="200" w:before="200"/>
        <w:jc w:val="center"/>
      </w:pPr>
      <w:r>
        <w:drawing>
          <wp:inline distT="0" distB="0" distL="0" distR="0">
            <wp:extent cx="5524500" cy="3238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1e293b"/>
          <w:sz w:val="22"/>
          <w:szCs w:val="22"/>
        </w:rPr>
        <w:t xml:space="preserve">Figure: BO Issues page view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Features &amp; Capabilities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View issues related to business unit vendors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Track issue severity and status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Monitor remediation progress</w:t>
      </w:r>
    </w:p>
    <w:p>
      <w:pPr>
        <w:spacing w:after="200"/>
      </w:pP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Navigation Path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Sidebar → TPRM → BO → Issue Management</w:t>
      </w:r>
    </w:p>
    <w:p>
      <w:pPr>
        <w:spacing w:after="20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IT Issues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Internal IT Team's issue management for IT-related vendor issues.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Features &amp; Capabilities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View IT-related vendor issues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Technical issue tracking and management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IT remediation workflows</w:t>
      </w:r>
    </w:p>
    <w:p>
      <w:pPr>
        <w:spacing w:after="200"/>
      </w:pP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Navigation Path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Sidebar → TPRM → Internal IT → Issue Management</w:t>
      </w:r>
    </w:p>
    <w:p>
      <w:pPr>
        <w:spacing w:after="200"/>
      </w:pPr>
    </w:p>
    <w:p>
      <w:r>
        <w:br w:type="page"/>
      </w:r>
    </w:p>
    <w:p>
      <w:pPr>
        <w:pStyle w:val="Heading1"/>
        <w:pBdr>
          <w:bottom w:val="single" w:color="1e40af" w:sz="6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e40af"/>
          <w:sz w:val="36"/>
          <w:szCs w:val="36"/>
        </w:rPr>
        <w:t xml:space="preserve">Monitoring &amp; Scanning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Continuous vendor monitoring through automated security scanning, web intelligence gathering, and ongoing risk assessment with a 14-KPI scorecard.</w:t>
      </w:r>
    </w:p>
    <w:p>
      <w:pPr>
        <w:spacing w:after="20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Vendor Monitoring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Automated vendor security scanning and continuous monitoring dashboard. Trigger on-demand scans that analyze vendor security posture using AI-powered web intelligence gathering with 17+ targeted searches per vendor.</w:t>
      </w:r>
    </w:p>
    <w:p>
      <w:pPr>
        <w:spacing w:after="200" w:before="200"/>
        <w:jc w:val="center"/>
      </w:pPr>
      <w:r>
        <w:drawing>
          <wp:inline distT="0" distB="0" distL="0" distR="0">
            <wp:extent cx="5524500" cy="3238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1e293b"/>
          <w:sz w:val="22"/>
          <w:szCs w:val="22"/>
        </w:rPr>
        <w:t xml:space="preserve">Figure: Vendor Monitoring page view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Features &amp; Capabilities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Stat cards: Vendors Monitored, Avg Security Score, High Risk Vendors, Active Scans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Vendor Scorecard table with sticky vendor name column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14 KPI columns: Network Security, DNS Health, Patching Cadence, Endpoint Security, IP Reputation, Application Security, Cubit Score, Email Security, SSL/TLS Config, Privacy, Known Breach, Hacker Chatter, Information Leak, Social Engineering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Security Score badge per vendor with color coding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KPI cell colors: Green (≥80), Emerald (≥65), Yellow (≥50), Red (&lt;50)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Trigger new vendor scan dialog (enter vendor name and domain URL)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Two-phase intelligence: HTTP header scan + 17 web searches + GPT-4o assessment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Domain scores breakdown: Data Breaches, Vulnerabilities, Security Posture, Certifications, DNS/Email, SSL/TLS, IP Reputation, Privacy, Dark Web, News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Queued/Processing scan status indicators with background polling (10s interval)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Automatic stale scan cleanup (10 min timeout)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View scan history per vendor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Delete vendor monitoring records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Only completed assessments shown in scorecard</w:t>
      </w:r>
    </w:p>
    <w:p>
      <w:pPr>
        <w:spacing w:after="200"/>
      </w:pP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Navigation Path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Sidebar → TPRM → Monitoring</w:t>
      </w:r>
    </w:p>
    <w:p>
      <w:pPr>
        <w:spacing w:after="20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Monitoring Detail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Detailed KPI analysis for a specific vendor's monitoring scan results.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Features &amp; Capabilities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Full KPI breakdown for individual vendor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Historical scan comparison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Detailed security score analysis</w:t>
      </w:r>
    </w:p>
    <w:p>
      <w:pPr>
        <w:spacing w:after="200"/>
      </w:pP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Navigation Path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Click vendor in Monitoring → Detail View</w:t>
      </w:r>
    </w:p>
    <w:p>
      <w:pPr>
        <w:spacing w:after="200"/>
      </w:pPr>
    </w:p>
    <w:p>
      <w:r>
        <w:br w:type="page"/>
      </w:r>
    </w:p>
    <w:p>
      <w:pPr>
        <w:pStyle w:val="Heading1"/>
        <w:pBdr>
          <w:bottom w:val="single" w:color="1e40af" w:sz="6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e40af"/>
          <w:sz w:val="36"/>
          <w:szCs w:val="36"/>
        </w:rPr>
        <w:t xml:space="preserve">Follow-ups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Track and manage follow-up actions arising from assessments and reviews.</w:t>
      </w:r>
    </w:p>
    <w:p>
      <w:pPr>
        <w:spacing w:after="20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AM Follow-ups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Account Manager follow-up tracking for assessment-related actions.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Features &amp; Capabilities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List follow-up items with status and due dates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Track follow-up completion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Link follow-ups to assessments</w:t>
      </w:r>
    </w:p>
    <w:p>
      <w:pPr>
        <w:spacing w:after="200"/>
      </w:pP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Navigation Path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Sidebar → TPRM → AM → Follow-Ups</w:t>
      </w:r>
    </w:p>
    <w:p>
      <w:pPr>
        <w:spacing w:after="20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Assessor Follow-ups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Assessor follow-up tracking for assessment actions.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Features &amp; Capabilities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List follow-up items assigned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Track completion status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Link to assessment context</w:t>
      </w:r>
    </w:p>
    <w:p>
      <w:pPr>
        <w:spacing w:after="200"/>
      </w:pP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Navigation Path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Sidebar → TPRM → Assessor → Follow-ups</w:t>
      </w:r>
    </w:p>
    <w:p>
      <w:pPr>
        <w:spacing w:after="200"/>
      </w:pPr>
    </w:p>
    <w:p>
      <w:r>
        <w:br w:type="page"/>
      </w:r>
    </w:p>
    <w:p>
      <w:pPr>
        <w:pStyle w:val="Heading1"/>
        <w:pBdr>
          <w:bottom w:val="single" w:color="1e40af" w:sz="6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e40af"/>
          <w:sz w:val="36"/>
          <w:szCs w:val="36"/>
        </w:rPr>
        <w:t xml:space="preserve">Reports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Generate comprehensive TPRM reports for management review, audit purposes, and regulatory compliance.</w:t>
      </w:r>
    </w:p>
    <w:p>
      <w:pPr>
        <w:spacing w:after="20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TPRM Reports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Generate and view TPRM reports including vendor risk summaries, assessment completion reports, issue resolution tracking, and historical trends.</w:t>
      </w:r>
    </w:p>
    <w:p>
      <w:pPr>
        <w:spacing w:after="200" w:before="200"/>
        <w:jc w:val="center"/>
      </w:pPr>
      <w:r>
        <w:drawing>
          <wp:inline distT="0" distB="0" distL="0" distR="0">
            <wp:extent cx="5524500" cy="3238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1e293b"/>
          <w:sz w:val="22"/>
          <w:szCs w:val="22"/>
        </w:rPr>
        <w:t xml:space="preserve">Figure: TPRM Reports page view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Features &amp; Capabilities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Vendor risk assessment reports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Assessment completion summary reports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Issue and remediation status reports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Export reports for stakeholder distribution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Historical trend analysis</w:t>
      </w:r>
    </w:p>
    <w:p>
      <w:pPr>
        <w:spacing w:after="200"/>
      </w:pP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Navigation Path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Sidebar → TPRM → Reports</w:t>
      </w:r>
    </w:p>
    <w:p>
      <w:pPr>
        <w:spacing w:after="20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Assessment Factory Reports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Reports on assessment factory history and batch assessment results.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Features &amp; Capabilities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Assessment factory batch history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Batch assessment completion status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Factory assessment analytics</w:t>
      </w:r>
    </w:p>
    <w:p>
      <w:pPr>
        <w:spacing w:after="200"/>
      </w:pP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Navigation Path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Sidebar → TPRM → Assessor → Assessment History</w:t>
      </w:r>
    </w:p>
    <w:p>
      <w:pPr>
        <w:spacing w:after="200"/>
      </w:pPr>
    </w:p>
    <w:p>
      <w:r>
        <w:br w:type="page"/>
      </w:r>
    </w:p>
    <w:p>
      <w:pPr>
        <w:pStyle w:val="Heading1"/>
        <w:pBdr>
          <w:bottom w:val="single" w:color="1e40af" w:sz="6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e40af"/>
          <w:sz w:val="36"/>
          <w:szCs w:val="36"/>
        </w:rPr>
        <w:t xml:space="preserve">Permissions Reference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Each role has specific permissions that determine what actions they can perform. The permission system uses a resource:action pattern.</w:t>
      </w:r>
    </w:p>
    <w:p>
      <w:pPr>
        <w:spacing w:after="20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Actions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view — Read-only access to see data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create — Ability to create new records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edit — Ability to modify existing records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delete — Ability to remove records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approve — Ability to approve/reject submissions</w:t>
      </w:r>
    </w:p>
    <w:p>
      <w:pPr>
        <w:spacing w:after="20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Permission Scopes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Global — Access to all records across the organization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Department — Access limited to records within the user's department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Own — Access limited to records owned by or assigned to the user</w:t>
      </w:r>
    </w:p>
    <w:p>
      <w:pPr>
        <w:spacing w:after="20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How Permissions Work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When you log in, your assigned role determines which sidebar menu items are visible and which actions you can perform on each page. If a menu item or button is not visible, it means your role does not have the required permission.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Permissions are enforced at both the UI level (hiding unavailable options) and the API level (blocking unauthorized requests). This ensures data security regardless of how the application is accessed.</w:t>
      </w:r>
    </w:p>
    <w:p>
      <w:r>
        <w:br w:type="page"/>
      </w:r>
    </w:p>
    <w:p>
      <w:pPr>
        <w:pStyle w:val="Heading1"/>
        <w:pBdr>
          <w:bottom w:val="single" w:color="1e40af" w:sz="6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e40af"/>
          <w:sz w:val="36"/>
          <w:szCs w:val="36"/>
        </w:rPr>
        <w:t xml:space="preserve">Glossary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TPRM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Third Party Risk Management — systematic process of analyzing and managing risks associated with outsourcing to third-party vendors.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VRR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Vendor Risk Rating — overall risk classification of a vendor, rated as Nominal, Low, Moderate, High, or Critical.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CAIQ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Consensus Assessments Initiative Questionnaire — standardized questionnaire for assessing cloud service provider security, organized by domains.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Assessment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Formal evaluation of a vendor's security and compliance posture through structured questionnaire-based review.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Remediation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Corrective action taken to address identified issues or vulnerabilities found during vendor assessments.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Monitoring Scan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Automated security assessment of a vendor using AI-powered web intelligence gathering across 17+ targeted searches.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KPI (Monitoring)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Key Performance Indicator in vendor monitoring — measures like Network Security, DNS Health, SSL/TLS Config, etc., scored 0-100.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Inherent Risk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Risk level before any controls or mitigations are applied.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Residual Risk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Risk level remaining after controls and mitigations are applied.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Domain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Specific area of assessment (e.g., Data Security, Access Control, Business Continuity).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Offboarding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Process of terminating a vendor relationship, including contract closure and final assessment.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Due Diligence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Systematic investigation of a vendor before and during the engagement to assess risk.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Scorecard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Quantitative summary of a vendor's security posture across multiple KPIs.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Assessment Factory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Batch mechanism for creating multiple vendor assessments simultaneously.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SME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Subject Matter Expert — specialist who provides domain-specific expertise during vendor assessments.</w:t>
      </w:r>
    </w:p>
    <w:p>
      <w:r>
        <w:br w:type="page"/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4748b"/>
        <w:sz w:val="16"/>
        <w:szCs w:val="16"/>
      </w:rPr>
      <w:t xml:space="preserve">Confidential — Glimmora International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i/>
        <w:iCs/>
        <w:color w:val="64748b"/>
        <w:sz w:val="16"/>
        <w:szCs w:val="16"/>
      </w:rPr>
      <w:t xml:space="preserve">TPRM TPRMAuditor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e293b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9081cf96e110257a9ad3bd41976c6a481ea76b36.png"/><Relationship Id="rId10" Type="http://schemas.openxmlformats.org/officeDocument/2006/relationships/image" Target="media/d08438ad412c93007941e8d0f35f21c26ac40410.png"/><Relationship Id="rId11" Type="http://schemas.openxmlformats.org/officeDocument/2006/relationships/image" Target="media/898aeb2e3ae03fcd31a6d7686558bdf45d892772.png"/><Relationship Id="rId12" Type="http://schemas.openxmlformats.org/officeDocument/2006/relationships/image" Target="media/75e6c35f95051a8b253f7712c4725d13a2b06acf.png"/><Relationship Id="rId13" Type="http://schemas.openxmlformats.org/officeDocument/2006/relationships/image" Target="media/d76471d4a8cccc1b25fc9b13427fd192083db725.png"/><Relationship Id="rId14" Type="http://schemas.openxmlformats.org/officeDocument/2006/relationships/image" Target="media/dbeb76428916858118b08c112b10c67e2540c1f0.png"/><Relationship Id="rId15" Type="http://schemas.openxmlformats.org/officeDocument/2006/relationships/image" Target="media/9cebc8af346ee5f41b88edf2a02a9122ecd4d234.png"/><Relationship Id="rId16" Type="http://schemas.openxmlformats.org/officeDocument/2006/relationships/image" Target="media/e90fc0a1bd73950274472fdb97924740fc2bb52e.png"/><Relationship Id="rId17" Type="http://schemas.openxmlformats.org/officeDocument/2006/relationships/image" Target="media/36efedf2c6816342729570427f850673fd512bb9.png"/><Relationship Id="rId18" Type="http://schemas.openxmlformats.org/officeDocument/2006/relationships/image" Target="media/f28e20b092fb90a24b1aacc73dd7ab1be0f6d403.png"/><Relationship Id="rId19" Type="http://schemas.openxmlformats.org/officeDocument/2006/relationships/image" Target="media/bbe878193ee2c7312ea5429386377f55c4219d8e.png"/><Relationship Id="rId20" Type="http://schemas.openxmlformats.org/officeDocument/2006/relationships/image" Target="media/fd132bdf624d1d84c239feafa298747d375e2476.png"/><Relationship Id="rId21" Type="http://schemas.openxmlformats.org/officeDocument/2006/relationships/image" Target="media/57469aea7167d0f30d9ddb587eb23796efe65d1a.png"/><Relationship Id="rId22" Type="http://schemas.openxmlformats.org/officeDocument/2006/relationships/image" Target="media/68dc66a11b06407edf3a04663336a3d21c55badd.png"/><Relationship Id="rId23" Type="http://schemas.openxmlformats.org/officeDocument/2006/relationships/image" Target="media/f0bbf6d21da5a4637528d4d75e9f61c93ccf74a8.png"/><Relationship Id="rId2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2026-03-12T08:05:43.042Z</dcterms:created>
  <dcterms:modified xsi:type="dcterms:W3CDTF">2026-03-12T08:05:43.042Z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