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E88E5"/>
          <w:sz w:val="28"/>
        </w:rPr>
        <w:t>TECHNICAL EVIDENCE PLATFORM</w:t>
      </w:r>
    </w:p>
    <w:p>
      <w:pPr>
        <w:jc w:val="center"/>
      </w:pPr>
      <w:r>
        <w:rPr>
          <w:b/>
          <w:color w:val="0B3D91"/>
          <w:sz w:val="72"/>
        </w:rPr>
        <w:t>Unique Selling Proposition</w:t>
      </w:r>
    </w:p>
    <w:p>
      <w:pPr>
        <w:jc w:val="center"/>
        <w:pBdr>
          <w:bottom w:val="single" w:sz="8" w:space="1" w:color="1E88E5"/>
        </w:pBdr>
      </w:pPr>
    </w:p>
    <w:p>
      <w:pPr>
        <w:jc w:val="center"/>
      </w:pPr>
      <w:r>
        <w:rPr>
          <w:i/>
          <w:color w:val="555F77"/>
          <w:sz w:val="28"/>
        </w:rPr>
        <w:t>Continuous, audit-grade compliance evidence — automatically collected from the tools your security team already uses.</w:t>
      </w:r>
    </w:p>
    <w:p>
      <w:pPr>
        <w:jc w:val="center"/>
      </w:pPr>
      <w:r>
        <w:rPr>
          <w:color w:val="555F77"/>
          <w:sz w:val="22"/>
        </w:rPr>
        <w:br/>
        <w:br/>
        <w:t>Glimmora International</w:t>
        <w:br/>
        <w:t>info@glimmora.ai</w:t>
      </w:r>
    </w:p>
    <w:p>
      <w:r>
        <w:br w:type="page"/>
      </w:r>
    </w:p>
    <w:p>
      <w:pPr>
        <w:pStyle w:val="Heading1"/>
      </w:pPr>
      <w:r>
        <w:t>1. The Problem We Solve</w:t>
      </w:r>
    </w:p>
    <w:p>
      <w:r>
        <w:rPr>
          <w:b w:val="0"/>
          <w:i w:val="0"/>
        </w:rPr>
        <w:t>Compliance teams burn weeks every audit cycle chasing the same artefacts: user lists from Azure Entra, vulnerability reports from Tenable and Acunetix, change tickets from ServiceNow, firewall configurations from Palo Alto and FortiGate. The data lives in nine different consoles, each with its own export format, refresh cadence, and access ritual. By the time the evidence reaches the auditor, it is stale, screenshot-based, and impossible to trust as a current control statement.</w:t>
      </w:r>
    </w:p>
    <w:p>
      <w:r>
        <w:rPr>
          <w:b w:val="0"/>
          <w:i w:val="0"/>
        </w:rPr>
        <w:t>Glimmora Technical Evidence eliminates this drudgery. Connect each platform once, and the system pulls evidence on demand, hashes it, and publishes it directly into your compliance Evidence library with control mappings already suggested by AI. The auditor opens GRC, sees a CSV with a timestamp and a SHA-256 fingerprint, and the conversation is over.</w:t>
      </w:r>
    </w:p>
    <w:p>
      <w:pPr>
        <w:pStyle w:val="Heading1"/>
      </w:pPr>
      <w:r>
        <w:t>2. What Makes It Unique</w:t>
      </w:r>
    </w:p>
    <w:p>
      <w:pPr>
        <w:pStyle w:val="Heading2"/>
      </w:pPr>
      <w:r>
        <w:t>2.1 Nine production-grade connectors out of the box</w:t>
      </w:r>
    </w:p>
    <w:p>
      <w:pPr>
        <w:pStyle w:val="ListBullet"/>
      </w:pPr>
      <w:r>
        <w:t>Azure Entra (identity + access reviews via Microsoft Graph)</w:t>
      </w:r>
    </w:p>
    <w:p>
      <w:pPr>
        <w:pStyle w:val="ListBullet"/>
      </w:pPr>
      <w:r>
        <w:t>Azure Security (Defender, Sentinel, CSPM)</w:t>
      </w:r>
    </w:p>
    <w:p>
      <w:pPr>
        <w:pStyle w:val="ListBullet"/>
      </w:pPr>
      <w:r>
        <w:t>Google Cloud Security Command Center</w:t>
      </w:r>
    </w:p>
    <w:p>
      <w:pPr>
        <w:pStyle w:val="ListBullet"/>
      </w:pPr>
      <w:r>
        <w:t>ServiceNow (incidents, change tickets, asset inventory)</w:t>
      </w:r>
    </w:p>
    <w:p>
      <w:pPr>
        <w:pStyle w:val="ListBullet"/>
      </w:pPr>
      <w:r>
        <w:t>Tenable (vulnerability scans, asset coverage)</w:t>
      </w:r>
    </w:p>
    <w:p>
      <w:pPr>
        <w:pStyle w:val="ListBullet"/>
      </w:pPr>
      <w:r>
        <w:t>Acunetix (web-app vulnerability findings)</w:t>
      </w:r>
    </w:p>
    <w:p>
      <w:pPr>
        <w:pStyle w:val="ListBullet"/>
      </w:pPr>
      <w:r>
        <w:t>Cisco ASA / FTD (firewall configuration &amp; rule sets)</w:t>
      </w:r>
    </w:p>
    <w:p>
      <w:pPr>
        <w:pStyle w:val="ListBullet"/>
      </w:pPr>
      <w:r>
        <w:t>Palo Alto Networks (NGFW configuration &amp; threat logs)</w:t>
      </w:r>
    </w:p>
    <w:p>
      <w:pPr>
        <w:pStyle w:val="ListBullet"/>
      </w:pPr>
      <w:r>
        <w:t>FortiGate (UTM configuration &amp; policy)</w:t>
      </w:r>
    </w:p>
    <w:tbl>
      <w:tblPr>
        <w:tblW w:type="auto" w:w="0"/>
        <w:tblLook w:firstColumn="1" w:firstRow="1" w:lastColumn="0" w:lastRow="0" w:noHBand="0" w:noVBand="1" w:val="04A0"/>
      </w:tblPr>
      <w:tblGrid>
        <w:gridCol w:w="8640"/>
      </w:tblGrid>
      <w:tr>
        <w:tc>
          <w:tcPr>
            <w:tcW w:type="dxa" w:w="8640"/>
            <w:shd w:val="clear" w:color="auto" w:fill="F2F5FB"/>
          </w:tcPr>
          <w:p>
            <w:r/>
            <w:r>
              <w:rPr>
                <w:b/>
                <w:color w:val="0B3D91"/>
                <w:sz w:val="22"/>
              </w:rPr>
              <w:t>Why this matters</w:t>
              <w:br/>
            </w:r>
            <w:r>
              <w:rPr>
                <w:color w:val="1F2A44"/>
                <w:sz w:val="21"/>
              </w:rPr>
              <w:t>Competing tools require you to upload CSVs by hand or hire a consultant to wire up a custom integration per platform. We ship the connectors as part of the product — onboarding is a 90-second credential-paste exercise, not a six-week SI engagement.</w:t>
            </w:r>
          </w:p>
        </w:tc>
      </w:tr>
    </w:tbl>
    <w:p>
      <w:pPr>
        <w:pStyle w:val="Heading2"/>
      </w:pPr>
      <w:r>
        <w:t>2.2 Evidence is auto-published to GRC, not parked in a silo</w:t>
      </w:r>
    </w:p>
    <w:p>
      <w:r>
        <w:rPr>
          <w:b w:val="0"/>
          <w:i w:val="0"/>
        </w:rPr>
        <w:t>Most evidence-collection tools dump CSVs into their own object store and leave the user to wire it into the compliance program manually. Technical Evidence is built into the same database as the GRC Evidence library: every successful collection creates or updates an Evidence record with the original CSV attached, the data-source metadata embedded, and AI-suggested links to the controls it most likely satisfies. One click confirms the mapping; the auditor sees a fully-traceable evidence chain from regulator-named control down to the row in the connector's response.</w:t>
      </w:r>
    </w:p>
    <w:p>
      <w:pPr>
        <w:pStyle w:val="Heading2"/>
      </w:pPr>
      <w:r>
        <w:t>2.3 Credentials are vaulted, never seen by humans</w:t>
      </w:r>
    </w:p>
    <w:p>
      <w:pPr>
        <w:pStyle w:val="ListBullet"/>
      </w:pPr>
      <w:r>
        <w:t>All secrets stored AES-256-GCM encrypted (12-byte IV + 16-byte auth tag) under the customer-scoped CREDENTIAL_ENCRYPTION_KEY.</w:t>
      </w:r>
    </w:p>
    <w:p>
      <w:pPr>
        <w:pStyle w:val="ListBullet"/>
      </w:pPr>
      <w:r>
        <w:t>Encryption is performed in the API layer on write; the database row stores only ciphertext.</w:t>
      </w:r>
    </w:p>
    <w:p>
      <w:pPr>
        <w:pStyle w:val="ListBullet"/>
      </w:pPr>
      <w:r>
        <w:t>Credential test calls run on demand only; results are recorded with timestamp and last-status badge in the Credential Vault.</w:t>
      </w:r>
    </w:p>
    <w:p>
      <w:pPr>
        <w:pStyle w:val="ListBullet"/>
      </w:pPr>
      <w:r>
        <w:t>Field-level RBAC blocks credential view/edit to CustomerAdministrator or GRCAdministrator only — auditors and end users never touch them.</w:t>
      </w:r>
    </w:p>
    <w:p>
      <w:pPr>
        <w:pStyle w:val="Heading2"/>
      </w:pPr>
      <w:r>
        <w:t>2.4 Deduplication and integrity by design</w:t>
      </w:r>
    </w:p>
    <w:p>
      <w:r>
        <w:rPr>
          <w:b w:val="0"/>
          <w:i w:val="0"/>
        </w:rPr>
        <w:t>Every record is hashed (SHA-256 of canonical JSON) before insert, so re-collecting the same data does not bloat storage and tamper attempts are detectable. Each collection snapshot keeps an immutable record set tied to its `collectedAt` timestamp, giving auditors a defensible 'this is what the world looked like at 14:32 UTC on the 12th' answer for any control check.</w:t>
      </w:r>
    </w:p>
    <w:p>
      <w:pPr>
        <w:pStyle w:val="Heading2"/>
      </w:pPr>
      <w:r>
        <w:t>2.5 Pay only for what you use — independent of GRC</w:t>
      </w:r>
    </w:p>
    <w:p>
      <w:r>
        <w:rPr>
          <w:b w:val="0"/>
          <w:i w:val="0"/>
        </w:rPr>
        <w:t>Technical Evidence is a standalone purchasable module. Customers running a third-party GRC product can still buy Technical Evidence and export evidence on demand. Customers running Glimmora GRC get the deepest experience because evidence flows natively into their controls library, but the platform is never a forced bundle.</w:t>
      </w:r>
    </w:p>
    <w:p>
      <w:pPr>
        <w:pStyle w:val="Heading1"/>
      </w:pPr>
      <w:r>
        <w:t>3. Quantified Value</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0B3D91"/>
            <w:vAlign w:val="center"/>
          </w:tcPr>
          <w:p>
            <w:r/>
            <w:r>
              <w:rPr>
                <w:b/>
                <w:color w:val="FFFFFF"/>
                <w:sz w:val="22"/>
              </w:rPr>
              <w:t>Outcome</w:t>
            </w:r>
          </w:p>
        </w:tc>
        <w:tc>
          <w:tcPr>
            <w:tcW w:type="dxa" w:w="3118"/>
            <w:shd w:val="clear" w:color="auto" w:fill="0B3D91"/>
            <w:vAlign w:val="center"/>
          </w:tcPr>
          <w:p>
            <w:r/>
            <w:r>
              <w:rPr>
                <w:b/>
                <w:color w:val="FFFFFF"/>
                <w:sz w:val="22"/>
              </w:rPr>
              <w:t>Before Technical Evidence</w:t>
            </w:r>
          </w:p>
        </w:tc>
        <w:tc>
          <w:tcPr>
            <w:tcW w:type="dxa" w:w="3118"/>
            <w:shd w:val="clear" w:color="auto" w:fill="0B3D91"/>
            <w:vAlign w:val="center"/>
          </w:tcPr>
          <w:p>
            <w:r/>
            <w:r>
              <w:rPr>
                <w:b/>
                <w:color w:val="FFFFFF"/>
                <w:sz w:val="22"/>
              </w:rPr>
              <w:t>With Technical Evidence</w:t>
            </w:r>
          </w:p>
        </w:tc>
      </w:tr>
      <w:tr>
        <w:tc>
          <w:tcPr>
            <w:tcW w:type="dxa" w:w="2835"/>
          </w:tcPr>
          <w:p>
            <w:r/>
            <w:r>
              <w:rPr>
                <w:sz w:val="21"/>
              </w:rPr>
              <w:t>Evidence freshness</w:t>
            </w:r>
          </w:p>
        </w:tc>
        <w:tc>
          <w:tcPr>
            <w:tcW w:type="dxa" w:w="3118"/>
          </w:tcPr>
          <w:p>
            <w:r/>
            <w:r>
              <w:rPr>
                <w:sz w:val="21"/>
              </w:rPr>
              <w:t>Quarterly screenshot drops</w:t>
            </w:r>
          </w:p>
        </w:tc>
        <w:tc>
          <w:tcPr>
            <w:tcW w:type="dxa" w:w="3118"/>
          </w:tcPr>
          <w:p>
            <w:r/>
            <w:r>
              <w:rPr>
                <w:sz w:val="21"/>
              </w:rPr>
              <w:t>On-demand, with timestamp + hash</w:t>
            </w:r>
          </w:p>
        </w:tc>
      </w:tr>
      <w:tr>
        <w:tc>
          <w:tcPr>
            <w:tcW w:type="dxa" w:w="2835"/>
            <w:shd w:val="clear" w:color="auto" w:fill="F2F5FB"/>
          </w:tcPr>
          <w:p>
            <w:r/>
            <w:r>
              <w:rPr>
                <w:sz w:val="21"/>
              </w:rPr>
              <w:t>Time per evidence cycle</w:t>
            </w:r>
          </w:p>
        </w:tc>
        <w:tc>
          <w:tcPr>
            <w:tcW w:type="dxa" w:w="3118"/>
            <w:shd w:val="clear" w:color="auto" w:fill="F2F5FB"/>
          </w:tcPr>
          <w:p>
            <w:r/>
            <w:r>
              <w:rPr>
                <w:sz w:val="21"/>
              </w:rPr>
              <w:t>3–6 hours per control owner</w:t>
            </w:r>
          </w:p>
        </w:tc>
        <w:tc>
          <w:tcPr>
            <w:tcW w:type="dxa" w:w="3118"/>
            <w:shd w:val="clear" w:color="auto" w:fill="F2F5FB"/>
          </w:tcPr>
          <w:p>
            <w:r/>
            <w:r>
              <w:rPr>
                <w:sz w:val="21"/>
              </w:rPr>
              <w:t>Sub-5 minutes per data source</w:t>
            </w:r>
          </w:p>
        </w:tc>
      </w:tr>
      <w:tr>
        <w:tc>
          <w:tcPr>
            <w:tcW w:type="dxa" w:w="2835"/>
          </w:tcPr>
          <w:p>
            <w:r/>
            <w:r>
              <w:rPr>
                <w:sz w:val="21"/>
              </w:rPr>
              <w:t>Auditor questions about provenance</w:t>
            </w:r>
          </w:p>
        </w:tc>
        <w:tc>
          <w:tcPr>
            <w:tcW w:type="dxa" w:w="3118"/>
          </w:tcPr>
          <w:p>
            <w:r/>
            <w:r>
              <w:rPr>
                <w:sz w:val="21"/>
              </w:rPr>
              <w:t>10–20 per engagement</w:t>
            </w:r>
          </w:p>
        </w:tc>
        <w:tc>
          <w:tcPr>
            <w:tcW w:type="dxa" w:w="3118"/>
          </w:tcPr>
          <w:p>
            <w:r/>
            <w:r>
              <w:rPr>
                <w:sz w:val="21"/>
              </w:rPr>
              <w:t>Effectively zero — provenance is built in</w:t>
            </w:r>
          </w:p>
        </w:tc>
      </w:tr>
      <w:tr>
        <w:tc>
          <w:tcPr>
            <w:tcW w:type="dxa" w:w="2835"/>
            <w:shd w:val="clear" w:color="auto" w:fill="F2F5FB"/>
          </w:tcPr>
          <w:p>
            <w:r/>
            <w:r>
              <w:rPr>
                <w:sz w:val="21"/>
              </w:rPr>
              <w:t>Annual evidence storage cost</w:t>
            </w:r>
          </w:p>
        </w:tc>
        <w:tc>
          <w:tcPr>
            <w:tcW w:type="dxa" w:w="3118"/>
            <w:shd w:val="clear" w:color="auto" w:fill="F2F5FB"/>
          </w:tcPr>
          <w:p>
            <w:r/>
            <w:r>
              <w:rPr>
                <w:sz w:val="21"/>
              </w:rPr>
              <w:t>Drift toward duplicates</w:t>
            </w:r>
          </w:p>
        </w:tc>
        <w:tc>
          <w:tcPr>
            <w:tcW w:type="dxa" w:w="3118"/>
            <w:shd w:val="clear" w:color="auto" w:fill="F2F5FB"/>
          </w:tcPr>
          <w:p>
            <w:r/>
            <w:r>
              <w:rPr>
                <w:sz w:val="21"/>
              </w:rPr>
              <w:t>SHA-256 dedup eliminates duplicates</w:t>
            </w:r>
          </w:p>
        </w:tc>
      </w:tr>
      <w:tr>
        <w:tc>
          <w:tcPr>
            <w:tcW w:type="dxa" w:w="2835"/>
          </w:tcPr>
          <w:p>
            <w:r/>
            <w:r>
              <w:rPr>
                <w:sz w:val="21"/>
              </w:rPr>
              <w:t>Onboarding effort per new tool</w:t>
            </w:r>
          </w:p>
        </w:tc>
        <w:tc>
          <w:tcPr>
            <w:tcW w:type="dxa" w:w="3118"/>
          </w:tcPr>
          <w:p>
            <w:r/>
            <w:r>
              <w:rPr>
                <w:sz w:val="21"/>
              </w:rPr>
              <w:t>1–6 weeks (custom integration)</w:t>
            </w:r>
          </w:p>
        </w:tc>
        <w:tc>
          <w:tcPr>
            <w:tcW w:type="dxa" w:w="3118"/>
          </w:tcPr>
          <w:p>
            <w:r/>
            <w:r>
              <w:rPr>
                <w:sz w:val="21"/>
              </w:rPr>
              <w:t>60–90 seconds (paste credential, test, collect)</w:t>
            </w:r>
          </w:p>
        </w:tc>
      </w:tr>
    </w:tbl>
    <w:p>
      <w:pPr>
        <w:pStyle w:val="Heading1"/>
      </w:pPr>
      <w:r>
        <w:t>4. Who Buys This</w:t>
      </w:r>
    </w:p>
    <w:p>
      <w:pPr>
        <w:pStyle w:val="ListBullet"/>
      </w:pPr>
      <w:r>
        <w:t>CISOs and Heads of GRC who need defensible evidence for ISO 27001, SOC 2, PCI DSS, HIPAA, RBI / SAMA / NESA / NCA audits.</w:t>
      </w:r>
    </w:p>
    <w:p>
      <w:pPr>
        <w:pStyle w:val="ListBullet"/>
      </w:pPr>
      <w:r>
        <w:t>Compliance leads tired of being the human glue between IT operations and audit.</w:t>
      </w:r>
    </w:p>
    <w:p>
      <w:pPr>
        <w:pStyle w:val="ListBullet"/>
      </w:pPr>
      <w:r>
        <w:t>Internal audit functions that want to spot-check controls between formal engagements.</w:t>
      </w:r>
    </w:p>
    <w:p>
      <w:pPr>
        <w:pStyle w:val="ListBullet"/>
      </w:pPr>
      <w:r>
        <w:t>MSSPs and consulting firms running compliance-as-a-service for multiple end customers, billing per integration.</w:t>
      </w:r>
    </w:p>
    <w:p>
      <w:pPr>
        <w:pStyle w:val="Heading1"/>
      </w:pPr>
      <w:r>
        <w:t>5. Why Now</w:t>
      </w:r>
    </w:p>
    <w:p>
      <w:r>
        <w:rPr>
          <w:b w:val="0"/>
          <w:i w:val="0"/>
        </w:rPr>
        <w:t>Regulatory bodies across the Gulf, India, and EU are converging on continuous-compliance expectations — controls must be operating effectively, not just designed. Static evidence is being challenged in audit by automated systems that prove a control was working on the exact day of an incident. Technical Evidence is built for that bar.</w:t>
      </w:r>
    </w:p>
    <w:tbl>
      <w:tblPr>
        <w:tblW w:type="auto" w:w="0"/>
        <w:tblLook w:firstColumn="1" w:firstRow="1" w:lastColumn="0" w:lastRow="0" w:noHBand="0" w:noVBand="1" w:val="04A0"/>
      </w:tblPr>
      <w:tblGrid>
        <w:gridCol w:w="8640"/>
      </w:tblGrid>
      <w:tr>
        <w:tc>
          <w:tcPr>
            <w:tcW w:type="dxa" w:w="8640"/>
            <w:shd w:val="clear" w:color="auto" w:fill="F2F5FB"/>
          </w:tcPr>
          <w:p>
            <w:r/>
            <w:r>
              <w:rPr>
                <w:b/>
                <w:color w:val="0B3D91"/>
                <w:sz w:val="22"/>
              </w:rPr>
              <w:t>Bottom line</w:t>
              <w:br/>
            </w:r>
            <w:r>
              <w:rPr>
                <w:color w:val="1F2A44"/>
                <w:sz w:val="21"/>
              </w:rPr>
              <w:t>Buy once, connect nine platforms in an hour, eliminate quarterly evidence-collection marathons forever. Spend that capacity on actual risk reduction instead.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88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