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pStyle w:val="48"/>
        <w:jc w:val="center"/>
      </w:pPr>
      <w:bookmarkStart w:id="0" w:name="_GoBack"/>
      <w:bookmarkEnd w:id="0"/>
      <w:r>
        <w:rPr>
          <w:b w:val="0"/>
        </w:rPr>
        <w:t>A Lifecycle Assurance Framework for Responsible Artificial Intelligence</w:t>
      </w:r>
    </w:p>
    <w:p>
      <w:pPr>
        <w:pStyle w:val="49"/>
        <w:jc w:val="center"/>
        <w:rPr>
          <w:b/>
        </w:rPr>
      </w:pPr>
      <w:r>
        <w:rPr>
          <w:b/>
        </w:rPr>
        <w:t>Kavish Khan</w:t>
      </w:r>
    </w:p>
    <w:p>
      <w:pPr>
        <w:pStyle w:val="49"/>
        <w:jc w:val="center"/>
        <w:rPr>
          <w:b/>
        </w:rPr>
      </w:pPr>
      <w:r>
        <w:rPr>
          <w:b/>
        </w:rPr>
        <w:t>24102C0036</w:t>
      </w:r>
    </w:p>
    <w:p>
      <w:pPr>
        <w:pStyle w:val="49"/>
        <w:jc w:val="center"/>
        <w:sectPr>
          <w:pgSz w:w="12240" w:h="15840"/>
          <w:pgMar w:top="1008" w:right="936" w:bottom="1008" w:left="936" w:header="720" w:footer="720" w:gutter="0"/>
          <w:docGrid w:linePitch="360" w:charSpace="0"/>
        </w:sectPr>
      </w:pPr>
      <w:r>
        <w:t>Department of Computer Engineering, Vidyalankar Institute of Technology</w:t>
        <w:br/>
        <w:t>Mumbai, India</w:t>
        <w:br/>
        <w:t>Email:kavishkhan101gmail.com</w:t>
      </w:r>
    </w:p>
    <w:p>
      <w:pPr>
        <w:pStyle w:val="50"/>
        <w:ind w:firstLine="0"/>
      </w:pPr>
      <w:r>
        <w:t>Abstract—Responsible artificial intelligence requires more than model accuracy: it requires evidence that an AI system is fair, transparent, privacy-aware, secure, safe, accountable, and subject to meaningful human oversight throughout its lifecycle. This paper proposes a lifecycle assurance framework that converts these principles into concrete engineering checkpoints from problem formulation and data preparation to model development, deployment, monitoring, and retirement. The framework combines risk classification, dataset documentation, fairness testing, explainability, privacy and security controls, human review, model documentation, and post-deployment monitoring in a single evidence-oriented workflow. A compact Responsible AI Assurance Score is introduced as a project-level decision aid rather than a substitute for domain-specific safety analysis. A worked healthcare triage scenario illustrates how the framework can expose risks that conventional performance metrics may overlook. The paper also maps the proposed workflow to established governance ideas such as the NIST AI Risk Management Framework and risk-based regulation. The result is a practical foundation for student, research, and organizational AI projects that need responsible-by-design controls without treating ethics as a final compliance step.</w:t>
      </w:r>
    </w:p>
    <w:p>
      <w:pPr>
        <w:pStyle w:val="51"/>
      </w:pPr>
      <w:r>
        <w:t>Keywords—responsible AI, AI ethics, fairness, explainability, transparency, privacy, accountability, human oversight, AI governance, risk management</w:t>
      </w:r>
    </w:p>
    <w:p>
      <w:pPr>
        <w:pStyle w:val="1"/>
        <w:jc w:val="center"/>
      </w:pPr>
      <w:r>
        <w:t>I. INTRODUCTION</w:t>
      </w:r>
    </w:p>
    <w:p>
      <w:pPr>
        <w:ind w:firstLine="202"/>
        <w:jc w:val="both"/>
      </w:pPr>
      <w:r>
        <w:t>Artificial intelligence systems increasingly influence decisions in healthcare, finance, education, recruitment, public services, cybersecurity, and digital platforms. Their usefulness is often measured using predictive performance, latency, cost, or user adoption. These measures are necessary but incomplete. An accurate system can still discriminate against a subgroup, reveal sensitive information, fail under distribution shift, provide misleading explanations, or automate a decision that should remain under human control. Responsible AI therefore concerns both what a system can do and whether the way it is designed, deployed, and governed is justified in its context of use.</w:t>
      </w:r>
    </w:p>
    <w:p>
      <w:pPr>
        <w:ind w:firstLine="202"/>
        <w:jc w:val="both"/>
      </w:pPr>
      <w:r>
        <w:t>Recent governance efforts reinforce this lifecycle view. The NIST AI Risk Management Framework organizes AI risk management around Govern, Map, Measure, and Manage functions and treats trustworthiness as a combination of validity, safety, security, accountability, transparency, explainability, privacy, and fairness [1]. The European Union Artificial Intelligence Act uses a risk-based regulatory structure and places stronger obligations on higher-risk uses [2]. At the engineering level, model cards and datasheets for datasets provide mechanisms for documenting model behavior and data provenance [3], [4]. However, project teams still need a compact workflow that connects these ideas to day-to-day development decisions.</w:t>
      </w:r>
    </w:p>
    <w:p>
      <w:pPr>
        <w:ind w:firstLine="202"/>
        <w:jc w:val="both"/>
      </w:pPr>
      <w:r>
        <w:t>This paper proposes a Lifecycle Assurance Framework for Responsible AI (LAF-RAI). Its main contribution is an evidence-oriented sequence of checkpoints that can be applied to small academic projects as well as larger AI systems. The framework emphasizes traceability: each responsible-AI claim should be supported by an artifact, metric, review record, or monitoring rule. The aim is not to create a universal ethics score, but to make responsible design decisions visible, testable, and reviewable.</w:t>
      </w:r>
    </w:p>
    <w:p>
      <w:pPr>
        <w:pStyle w:val="1"/>
        <w:jc w:val="center"/>
      </w:pPr>
      <w:r>
        <w:t>II. FOUNDATIONS OF RESPONSIBLE AI</w:t>
      </w:r>
    </w:p>
    <w:p>
      <w:pPr>
        <w:ind w:firstLine="202"/>
        <w:jc w:val="both"/>
      </w:pPr>
      <w:r>
        <w:t>Responsible AI is a socio-technical objective. Technical properties such as robustness or calibration interact with institutional processes, human behavior, legal requirements, and the distribution of benefits and harms. Consequently, no single metric can establish that a system is responsible. A practical foundation must instead combine principles, measurable evidence, and governance responsibilities.</w:t>
      </w:r>
    </w:p>
    <w:p>
      <w:pPr>
        <w:pStyle w:val="2"/>
      </w:pPr>
      <w:r>
        <w:t>A. Core Principles</w:t>
      </w:r>
    </w:p>
    <w:p>
      <w:pPr>
        <w:ind w:firstLine="202"/>
        <w:jc w:val="both"/>
      </w:pPr>
      <w:r>
        <w:t>The proposed framework uses seven core principles. Fairness asks whether benefits, errors, and opportunities are distributed acceptably across relevant groups. Transparency requires clear communication of system purpose, limitations, data use, and decision boundaries. Explainability concerns whether affected users and reviewers can understand relevant reasons for outputs. Privacy requires data minimization, lawful handling, access control, and protection against unintended disclosure. Safety and security address foreseeable failures, misuse, adversarial behavior, and resilience. Accountability assigns ownership for decisions, incidents, and corrective actions. Human oversight ensures that automation does not remove meaningful review where consequences are significant.</w:t>
      </w:r>
    </w:p>
    <w:p>
      <w:pPr>
        <w:pStyle w:val="2"/>
      </w:pPr>
      <w:r>
        <w:t>B. From Principles to Evidence</w:t>
      </w:r>
    </w:p>
    <w:p>
      <w:pPr>
        <w:ind w:firstLine="202"/>
        <w:jc w:val="both"/>
      </w:pPr>
      <w:r>
        <w:t>High-level principles become useful only when translated into evidence. Examples include a data sheet describing collection and consent; subgroup error measurements; robustness tests; a model card stating intended and excluded uses; a privacy impact review; logs showing human overrides; incident thresholds; and a retirement plan. This evidence should be versioned with the model and updated when the operating context changes.</w:t>
      </w:r>
    </w:p>
    <w:p>
      <w:pPr>
        <w:pStyle w:val="1"/>
        <w:jc w:val="center"/>
      </w:pPr>
      <w:r>
        <w:t>III. PROPOSED LIFECYCLE ASSURANCE FRAMEWORK</w:t>
      </w:r>
    </w:p>
    <w:p>
      <w:pPr>
        <w:ind w:firstLine="202"/>
        <w:jc w:val="both"/>
      </w:pPr>
      <w:r>
        <w:t>LAF-RAI divides the AI lifecycle into six assurance gates. A project should not advance solely because model performance is high; it should advance when the evidence required for the current risk level is adequate. The gates are iterative because new information discovered during testing or deployment can force a return to earlier design decisions.</w:t>
      </w:r>
    </w:p>
    <w:p>
      <w:pPr>
        <w:pStyle w:val="2"/>
      </w:pPr>
      <w:r>
        <w:t>A. Gate 1: Purpose and Risk Mapping</w:t>
      </w:r>
    </w:p>
    <w:p>
      <w:pPr>
        <w:ind w:firstLine="202"/>
        <w:jc w:val="both"/>
      </w:pPr>
      <w:r>
        <w:t>The team defines the decision being supported, intended users, affected stakeholders, foreseeable misuse, and consequences of error. It identifies whether the system is advisory or autonomous and whether vulnerable populations may be affected. A risk register records hazards, likelihood, severity, owners, and mitigations. The output is a use-case statement and a preliminary risk tier.</w:t>
      </w:r>
    </w:p>
    <w:p>
      <w:pPr>
        <w:pStyle w:val="2"/>
      </w:pPr>
      <w:r>
        <w:t>B. Gate 2: Data Responsibility</w:t>
      </w:r>
    </w:p>
    <w:p>
      <w:pPr>
        <w:ind w:firstLine="202"/>
        <w:jc w:val="both"/>
      </w:pPr>
      <w:r>
        <w:t>The dataset is examined for provenance, consent or lawful basis, representativeness, missingness, sensitive attributes, label quality, and leakage. Data minimization is applied so that unnecessary personal information is not retained. Subgroups relevant to the use case are defined before evaluation. Dataset documentation records known gaps instead of hiding them behind aggregate statistics.</w:t>
      </w:r>
    </w:p>
    <w:p>
      <w:pPr>
        <w:pStyle w:val="2"/>
      </w:pPr>
      <w:r>
        <w:t>C. Gate 3: Model Development and Evaluation</w:t>
      </w:r>
    </w:p>
    <w:p>
      <w:pPr>
        <w:ind w:firstLine="202"/>
        <w:jc w:val="both"/>
      </w:pPr>
      <w:r>
        <w:t>Model selection considers not only accuracy but also interpretability, robustness, computational cost, and the consequences of failure. Evaluation includes task metrics, subgroup metrics, calibration where probabilities are used, stress tests, and sensitivity to plausible distribution changes. Fairness metrics must be chosen in relation to the application because different fairness definitions can conflict.</w:t>
      </w:r>
    </w:p>
    <w:p>
      <w:pPr>
        <w:pStyle w:val="2"/>
      </w:pPr>
      <w:r>
        <w:t>D. Gate 4: Transparency, Explainability, and Human Oversight</w:t>
      </w:r>
    </w:p>
    <w:p>
      <w:pPr>
        <w:ind w:firstLine="202"/>
        <w:jc w:val="both"/>
      </w:pPr>
      <w:r>
        <w:t>The system communicates its intended use, uncertainty, limitations, and escalation paths. Explanations are selected for the audience: developers may need feature-level diagnostics, while end users may need concise reasons and actionable recourse. Human reviewers receive enough information and authority to question or override outputs rather than merely confirm them.</w:t>
      </w:r>
    </w:p>
    <w:p>
      <w:pPr>
        <w:pStyle w:val="2"/>
      </w:pPr>
      <w:r>
        <w:t>E. Gate 5: Deployment Assurance</w:t>
      </w:r>
    </w:p>
    <w:p>
      <w:pPr>
        <w:ind w:firstLine="202"/>
        <w:jc w:val="both"/>
      </w:pPr>
      <w:r>
        <w:t>Before release, the team verifies access controls, logging, security testing, privacy controls, rollback procedures, model and data versioning, and operational ownership. Deployment should include guardrails appropriate to the risk tier. High-impact systems require stronger review, staged rollout, and clearly defined stop conditions.</w:t>
      </w:r>
    </w:p>
    <w:p>
      <w:pPr>
        <w:pStyle w:val="2"/>
      </w:pPr>
      <w:r>
        <w:t>F. Gate 6: Monitoring, Incident Response, and Retirement</w:t>
      </w:r>
    </w:p>
    <w:p>
      <w:pPr>
        <w:ind w:firstLine="202"/>
        <w:jc w:val="both"/>
      </w:pPr>
      <w:r>
        <w:t>Responsible AI continues after deployment. Monitoring should track performance drift, subgroup behavior, abnormal usage, security events, complaints, override rates, and changes in the population or policy environment. Incidents trigger documented response procedures. A system should be retrained, restricted, or retired when its assumptions no longer hold or its risks cannot be controlled.</w:t>
      </w:r>
    </w:p>
    <w:p>
      <w:pPr>
        <w:pStyle w:val="1"/>
        <w:jc w:val="center"/>
      </w:pPr>
      <w:r>
        <w:t>IV. RESPONSIBLE AI ASSURANCE SCORE</w:t>
      </w:r>
    </w:p>
    <w:p>
      <w:pPr>
        <w:ind w:firstLine="202"/>
        <w:jc w:val="both"/>
      </w:pPr>
      <w:r>
        <w:t>To support project reviews, this paper introduces a Responsible AI Assurance Score (RAIAS) as a lightweight summary of evidence completeness. Seven dimensions are scored from 0 to 4: fairness (F), transparency (T), explainability (E), privacy (P), safety and security (S), accountability (A), and human oversight (H). A score of 0 indicates no evidence, 1 indicates an identified concern, 2 indicates a documented control, 3 indicates a tested control, and 4 indicates a tested control with ongoing monitoring.</w:t>
      </w:r>
    </w:p>
    <w:p>
      <w:pPr>
        <w:ind w:firstLine="202"/>
        <w:jc w:val="both"/>
      </w:pPr>
      <w:r>
        <w:t>For equal weighting, RAIAS = 100(F + T + E + P + S + A + H) / 28. A project may use risk-based weights when one dimension is more consequential. The score is deliberately an assurance index, not a claim that ethical acceptability can be reduced to a number. A high total cannot compensate for a critical failure in a mandatory dimension; therefore, each project must define minimum gate conditions in addition to the aggregate score.</w:t>
      </w:r>
    </w:p>
    <w:p>
      <w:pPr>
        <w:pStyle w:val="2"/>
      </w:pPr>
      <w:r>
        <w:t>A. Suggested Decision Rule</w:t>
      </w:r>
    </w:p>
    <w:p>
      <w:pPr>
        <w:ind w:firstLine="202"/>
        <w:jc w:val="both"/>
      </w:pPr>
      <w:r>
        <w:t>For low-risk prototypes, a team may use the score to identify missing documentation before demonstration. For systems affecting rights, safety, access to essential services, or sensitive personal data, the score should only supplement formal domain review. Any unresolved severe risk, absent incident owner, or inability to provide meaningful oversight should block deployment regardless of the numerical result.</w:t>
      </w:r>
    </w:p>
    <w:p>
      <w:pPr>
        <w:pStyle w:val="1"/>
        <w:jc w:val="center"/>
      </w:pPr>
      <w:r>
        <w:t>V. ILLUSTRATIVE HEALTHCARE TRIAGE SCENARIO</w:t>
      </w:r>
    </w:p>
    <w:p>
      <w:pPr>
        <w:ind w:firstLine="202"/>
        <w:jc w:val="both"/>
      </w:pPr>
      <w:r>
        <w:t>Consider an AI model that prioritizes patients for clinical review using symptoms, age, vital signs, and prior records. A conventional evaluation might report strong overall discrimination and conclude that the model is ready. LAF-RAI asks additional questions. At Gate 1, delayed review is identified as a potentially serious harm, making false negatives especially important. At Gate 2, the team checks whether age groups, sexes, and relevant clinical populations are adequately represented and whether historical labels reflect unequal access to care.</w:t>
      </w:r>
    </w:p>
    <w:p>
      <w:pPr>
        <w:ind w:firstLine="202"/>
        <w:jc w:val="both"/>
      </w:pPr>
      <w:r>
        <w:t>At Gate 3, performance is reported by subgroup and includes sensitivity, false-negative rate, and calibration rather than a single accuracy value. At Gate 4, the model remains decision support: clinicians can view contributing factors, uncertainty, and limitations and can override the recommendation. Gate 5 restricts access to authorized personnel, records model versions, and defines rollback procedures. Gate 6 monitors drift, override rates, subgroup errors, and safety incidents. If a subgroup's false-negative rate exceeds the approved threshold, the system is flagged for investigation and may be temporarily restricted.</w:t>
      </w:r>
    </w:p>
    <w:p>
      <w:pPr>
        <w:ind w:firstLine="202"/>
        <w:jc w:val="both"/>
      </w:pPr>
      <w:r>
        <w:t>This scenario shows why responsible AI cannot be appended after training. Data quality, metric selection, interface design, workflow authority, monitoring, and incident response all influence whether the final system is trustworthy.</w:t>
      </w:r>
    </w:p>
    <w:p>
      <w:pPr>
        <w:pStyle w:val="1"/>
        <w:jc w:val="center"/>
      </w:pPr>
      <w:r>
        <w:t>VI. DISCUSSION</w:t>
      </w:r>
    </w:p>
    <w:p>
      <w:pPr>
        <w:pStyle w:val="2"/>
      </w:pPr>
      <w:r>
        <w:t>A. Benefits</w:t>
      </w:r>
    </w:p>
    <w:p>
      <w:pPr>
        <w:ind w:firstLine="202"/>
        <w:jc w:val="both"/>
      </w:pPr>
      <w:r>
        <w:t>The framework has three practical benefits. First, it createstraceability between responsible-AI principles and engineering evidence. Second, it makes lifecycle ownership explicit, reducing the risk that ethics is treated as the responsibility of a single reviewer. Third, its gate structure can scale: low-risk prototypes can use lightweight evidence, while high-impact systems can require independent review, stronger testing, and continuous monitoring.</w:t>
      </w:r>
    </w:p>
    <w:p>
      <w:pPr>
        <w:pStyle w:val="2"/>
      </w:pPr>
      <w:r>
        <w:t>B. Limitations</w:t>
      </w:r>
    </w:p>
    <w:p>
      <w:pPr>
        <w:ind w:firstLine="202"/>
        <w:jc w:val="both"/>
      </w:pPr>
      <w:r>
        <w:t>LAF-RAI does not resolve normative disagreements about what constitutes acceptable fairness, privacy, or social benefit. The RAIAS is not a regulatory compliance score and should not be used to compare unrelated systems. The framework also depends on honest documentation and competent reviewers. Further empirical work is required to test inter-rater consistency, determine domain-specific thresholds, and evaluate whether the framework measurably reduces incidents.</w:t>
      </w:r>
    </w:p>
    <w:p>
      <w:pPr>
        <w:pStyle w:val="2"/>
      </w:pPr>
      <w:r>
        <w:t>C. Future Work</w:t>
      </w:r>
    </w:p>
    <w:p>
      <w:pPr>
        <w:ind w:firstLine="202"/>
        <w:jc w:val="both"/>
      </w:pPr>
      <w:r>
        <w:t>Future work should develop domain-specific assurance profiles for healthcare, education, cybersecurity, and financial decision support. Automated tooling could generate evidence from machine-learning pipelines, track dataset and model versions, run subgroup and drift tests, and assemble model cards. A further research direction is to evaluate responsible-AI controls for generative and agentic systems, where open-ended outputs, tool use, prompt injection, and long interaction chains introduce additional risks.</w:t>
      </w:r>
    </w:p>
    <w:p>
      <w:pPr>
        <w:pStyle w:val="1"/>
        <w:jc w:val="center"/>
      </w:pPr>
      <w:r>
        <w:t>VII. CONCLUSION</w:t>
      </w:r>
    </w:p>
    <w:p>
      <w:pPr>
        <w:ind w:firstLine="202"/>
        <w:jc w:val="both"/>
      </w:pPr>
      <w:r>
        <w:t>Responsible AI is best treated as a continuous engineering and governance discipline rather than a final ethics checklist. The proposed LAF-RAI framework organizes responsible-AI practice into six lifecycle gates and requires evidence across fairness, transparency, explainability, privacy, safety and security, accountability, and human oversight. Its assurance score provides a compact review aid while preserving non-negotiable risk gates. By connecting principles to artifacts, tests, owners, and monitoring rules, the framework offers a practical foundation for building AI systems whose performance and social acceptability can be examined together.</w:t>
      </w:r>
    </w:p>
    <w:p>
      <w:pPr>
        <w:pStyle w:val="1"/>
        <w:jc w:val="center"/>
      </w:pPr>
      <w:r>
        <w:t>TABLE I. LIFECYCLE ASSURANCE EVIDENCE</w:t>
      </w:r>
    </w:p>
    <w:tbl>
      <w:tblPr>
        <w:jc w:val="center"/>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
      <w:tblGrid>
        <w:gridCol w:w="1740"/>
        <w:gridCol w:w="1740"/>
        <w:gridCol w:w="1740"/>
      </w:tblGrid>
      <w:tr>
        <w:tc>
          <w:tcPr>
            <w:tcW w:w="3456" w:type="dxa"/>
          </w:tcPr>
          <w:p>
            <w:r>
              <w:rPr>
                <w:rFonts w:ascii="Times New Roman" w:hAnsi="Times New Roman"/>
                <w:b/>
                <w:sz w:val="16"/>
              </w:rPr>
              <w:t>Gate</w:t>
            </w:r>
          </w:p>
        </w:tc>
        <w:tc>
          <w:tcPr>
            <w:tcW w:w="3456" w:type="dxa"/>
          </w:tcPr>
          <w:p>
            <w:r>
              <w:rPr>
                <w:rFonts w:ascii="Times New Roman" w:hAnsi="Times New Roman"/>
                <w:b/>
                <w:sz w:val="16"/>
              </w:rPr>
              <w:t>Primary question</w:t>
            </w:r>
          </w:p>
        </w:tc>
        <w:tc>
          <w:tcPr>
            <w:tcW w:w="3456" w:type="dxa"/>
          </w:tcPr>
          <w:p>
            <w:r>
              <w:rPr>
                <w:rFonts w:ascii="Times New Roman" w:hAnsi="Times New Roman"/>
                <w:b/>
                <w:sz w:val="16"/>
              </w:rPr>
              <w:t>Example evidence</w:t>
            </w:r>
          </w:p>
        </w:tc>
      </w:tr>
      <w:tr>
        <w:tc>
          <w:tcPr>
            <w:tcW w:w="3456" w:type="dxa"/>
            <w:vAlign w:val="center"/>
          </w:tcPr>
          <w:p>
            <w:pPr>
              <w:spacing w:after="0"/>
            </w:pPr>
            <w:r>
              <w:rPr>
                <w:rFonts w:ascii="Times New Roman" w:hAnsi="Times New Roman"/>
                <w:sz w:val="15"/>
              </w:rPr>
              <w:t>Purpose</w:t>
            </w:r>
          </w:p>
        </w:tc>
        <w:tc>
          <w:tcPr>
            <w:tcW w:w="3456" w:type="dxa"/>
            <w:vAlign w:val="center"/>
          </w:tcPr>
          <w:p>
            <w:pPr>
              <w:spacing w:after="0"/>
            </w:pPr>
            <w:r>
              <w:rPr>
                <w:rFonts w:ascii="Times New Roman" w:hAnsi="Times New Roman"/>
                <w:sz w:val="15"/>
              </w:rPr>
              <w:t>What can go wrong and who is affected?</w:t>
            </w:r>
          </w:p>
        </w:tc>
        <w:tc>
          <w:tcPr>
            <w:tcW w:w="3456" w:type="dxa"/>
            <w:vAlign w:val="center"/>
          </w:tcPr>
          <w:p>
            <w:pPr>
              <w:spacing w:after="0"/>
            </w:pPr>
            <w:r>
              <w:rPr>
                <w:rFonts w:ascii="Times New Roman" w:hAnsi="Times New Roman"/>
                <w:sz w:val="15"/>
              </w:rPr>
              <w:t>Use-case statement, risk register</w:t>
            </w:r>
          </w:p>
        </w:tc>
      </w:tr>
      <w:tr>
        <w:tc>
          <w:tcPr>
            <w:tcW w:w="3456" w:type="dxa"/>
            <w:vAlign w:val="center"/>
          </w:tcPr>
          <w:p>
            <w:pPr>
              <w:spacing w:after="0"/>
            </w:pPr>
            <w:r>
              <w:rPr>
                <w:rFonts w:ascii="Times New Roman" w:hAnsi="Times New Roman"/>
                <w:sz w:val="15"/>
              </w:rPr>
              <w:t>Data</w:t>
            </w:r>
          </w:p>
        </w:tc>
        <w:tc>
          <w:tcPr>
            <w:tcW w:w="3456" w:type="dxa"/>
            <w:vAlign w:val="center"/>
          </w:tcPr>
          <w:p>
            <w:pPr>
              <w:spacing w:after="0"/>
            </w:pPr>
            <w:r>
              <w:rPr>
                <w:rFonts w:ascii="Times New Roman" w:hAnsi="Times New Roman"/>
                <w:sz w:val="15"/>
              </w:rPr>
              <w:t>Is the data suitable and responsibly handled?</w:t>
            </w:r>
          </w:p>
        </w:tc>
        <w:tc>
          <w:tcPr>
            <w:tcW w:w="3456" w:type="dxa"/>
            <w:vAlign w:val="center"/>
          </w:tcPr>
          <w:p>
            <w:pPr>
              <w:spacing w:after="0"/>
            </w:pPr>
            <w:r>
              <w:rPr>
                <w:rFonts w:ascii="Times New Roman" w:hAnsi="Times New Roman"/>
                <w:sz w:val="15"/>
              </w:rPr>
              <w:t>Dataset sheet, subgroup audit</w:t>
            </w:r>
          </w:p>
        </w:tc>
      </w:tr>
      <w:tr>
        <w:tc>
          <w:tcPr>
            <w:tcW w:w="3456" w:type="dxa"/>
            <w:vAlign w:val="center"/>
          </w:tcPr>
          <w:p>
            <w:pPr>
              <w:spacing w:after="0"/>
            </w:pPr>
            <w:r>
              <w:rPr>
                <w:rFonts w:ascii="Times New Roman" w:hAnsi="Times New Roman"/>
                <w:sz w:val="15"/>
              </w:rPr>
              <w:t>Model</w:t>
            </w:r>
          </w:p>
        </w:tc>
        <w:tc>
          <w:tcPr>
            <w:tcW w:w="3456" w:type="dxa"/>
            <w:vAlign w:val="center"/>
          </w:tcPr>
          <w:p>
            <w:pPr>
              <w:spacing w:after="0"/>
            </w:pPr>
            <w:r>
              <w:rPr>
                <w:rFonts w:ascii="Times New Roman" w:hAnsi="Times New Roman"/>
                <w:sz w:val="15"/>
              </w:rPr>
              <w:t>Does performance remain acceptable across groups and conditions?</w:t>
            </w:r>
          </w:p>
        </w:tc>
        <w:tc>
          <w:tcPr>
            <w:tcW w:w="3456" w:type="dxa"/>
            <w:vAlign w:val="center"/>
          </w:tcPr>
          <w:p>
            <w:pPr>
              <w:spacing w:after="0"/>
            </w:pPr>
            <w:r>
              <w:rPr>
                <w:rFonts w:ascii="Times New Roman" w:hAnsi="Times New Roman"/>
                <w:sz w:val="15"/>
              </w:rPr>
              <w:t>Metrics, robustness and fairness tests</w:t>
            </w:r>
          </w:p>
        </w:tc>
      </w:tr>
      <w:tr>
        <w:tc>
          <w:tcPr>
            <w:tcW w:w="3456" w:type="dxa"/>
            <w:vAlign w:val="center"/>
          </w:tcPr>
          <w:p>
            <w:pPr>
              <w:spacing w:after="0"/>
            </w:pPr>
            <w:r>
              <w:rPr>
                <w:rFonts w:ascii="Times New Roman" w:hAnsi="Times New Roman"/>
                <w:sz w:val="15"/>
              </w:rPr>
              <w:t>Oversight</w:t>
            </w:r>
          </w:p>
        </w:tc>
        <w:tc>
          <w:tcPr>
            <w:tcW w:w="3456" w:type="dxa"/>
            <w:vAlign w:val="center"/>
          </w:tcPr>
          <w:p>
            <w:pPr>
              <w:spacing w:after="0"/>
            </w:pPr>
            <w:r>
              <w:rPr>
                <w:rFonts w:ascii="Times New Roman" w:hAnsi="Times New Roman"/>
                <w:sz w:val="15"/>
              </w:rPr>
              <w:t>Can people understand, challenge, and override outputs?</w:t>
            </w:r>
          </w:p>
        </w:tc>
        <w:tc>
          <w:tcPr>
            <w:tcW w:w="3456" w:type="dxa"/>
            <w:vAlign w:val="center"/>
          </w:tcPr>
          <w:p>
            <w:pPr>
              <w:spacing w:after="0"/>
            </w:pPr>
            <w:r>
              <w:rPr>
                <w:rFonts w:ascii="Times New Roman" w:hAnsi="Times New Roman"/>
                <w:sz w:val="15"/>
              </w:rPr>
              <w:t>Model card, explanation and escalation design</w:t>
            </w:r>
          </w:p>
        </w:tc>
      </w:tr>
      <w:tr>
        <w:tc>
          <w:tcPr>
            <w:tcW w:w="3456" w:type="dxa"/>
            <w:vAlign w:val="center"/>
          </w:tcPr>
          <w:p>
            <w:pPr>
              <w:spacing w:after="0"/>
            </w:pPr>
            <w:r>
              <w:rPr>
                <w:rFonts w:ascii="Times New Roman" w:hAnsi="Times New Roman"/>
                <w:sz w:val="15"/>
              </w:rPr>
              <w:t>Deployment</w:t>
            </w:r>
          </w:p>
        </w:tc>
        <w:tc>
          <w:tcPr>
            <w:tcW w:w="3456" w:type="dxa"/>
            <w:vAlign w:val="center"/>
          </w:tcPr>
          <w:p>
            <w:pPr>
              <w:spacing w:after="0"/>
            </w:pPr>
            <w:r>
              <w:rPr>
                <w:rFonts w:ascii="Times New Roman" w:hAnsi="Times New Roman"/>
                <w:sz w:val="15"/>
              </w:rPr>
              <w:t>Are operational controls ready?</w:t>
            </w:r>
          </w:p>
        </w:tc>
        <w:tc>
          <w:tcPr>
            <w:tcW w:w="3456" w:type="dxa"/>
            <w:vAlign w:val="center"/>
          </w:tcPr>
          <w:p>
            <w:pPr>
              <w:spacing w:after="0"/>
            </w:pPr>
            <w:r>
              <w:rPr>
                <w:rFonts w:ascii="Times New Roman" w:hAnsi="Times New Roman"/>
                <w:sz w:val="15"/>
              </w:rPr>
              <w:t>Security review, logs, rollback plan</w:t>
            </w:r>
          </w:p>
        </w:tc>
      </w:tr>
      <w:tr>
        <w:tc>
          <w:tcPr>
            <w:tcW w:w="3456" w:type="dxa"/>
            <w:vAlign w:val="center"/>
          </w:tcPr>
          <w:p>
            <w:pPr>
              <w:spacing w:after="0"/>
            </w:pPr>
            <w:r>
              <w:rPr>
                <w:rFonts w:ascii="Times New Roman" w:hAnsi="Times New Roman"/>
                <w:sz w:val="15"/>
              </w:rPr>
              <w:t>Monitoring</w:t>
            </w:r>
          </w:p>
        </w:tc>
        <w:tc>
          <w:tcPr>
            <w:tcW w:w="3456" w:type="dxa"/>
            <w:vAlign w:val="center"/>
          </w:tcPr>
          <w:p>
            <w:pPr>
              <w:spacing w:after="0"/>
            </w:pPr>
            <w:r>
              <w:rPr>
                <w:rFonts w:ascii="Times New Roman" w:hAnsi="Times New Roman"/>
                <w:sz w:val="15"/>
              </w:rPr>
              <w:t>Are risks detected and acted on after release?</w:t>
            </w:r>
          </w:p>
        </w:tc>
        <w:tc>
          <w:tcPr>
            <w:tcW w:w="3456" w:type="dxa"/>
            <w:vAlign w:val="center"/>
          </w:tcPr>
          <w:p>
            <w:pPr>
              <w:spacing w:after="0"/>
            </w:pPr>
            <w:r>
              <w:rPr>
                <w:rFonts w:ascii="Times New Roman" w:hAnsi="Times New Roman"/>
                <w:sz w:val="15"/>
              </w:rPr>
              <w:t>Drift alerts, incident log, retirement criteria</w:t>
            </w:r>
          </w:p>
        </w:tc>
      </w:tr>
    </w:tbl>
    <w:p>
      <w:pPr>
        <w:pStyle w:val="1"/>
        <w:jc w:val="center"/>
      </w:pPr>
      <w:r>
        <w:t>REFERENCES</w:t>
      </w:r>
    </w:p>
    <w:p>
      <w:pPr>
        <w:spacing w:after="20"/>
        <w:ind w:left="216" w:hanging="216"/>
      </w:pPr>
      <w:r>
        <w:rPr>
          <w:sz w:val="16"/>
        </w:rPr>
        <w:t>[1] E. Tabassi, Artificial Intelligence Risk Management Framework (AI RMF 1.0), NIST AI 100-1, National Institute of Standards and Technology, Jan. 2023, doi: 10.6028/NIST.AI.100-1.</w:t>
      </w:r>
    </w:p>
    <w:p>
      <w:pPr>
        <w:spacing w:after="20"/>
        <w:ind w:left="216" w:hanging="216"/>
      </w:pPr>
      <w:r>
        <w:rPr>
          <w:sz w:val="16"/>
        </w:rPr>
        <w:t>[2] European Parliament and Council of the European Union, “Regulation (EU) 2024/1689 laying down harmonised rules on artificial intelligence (Artificial Intelligence Act),” Official Journal of the European Union, July 2024.</w:t>
      </w:r>
    </w:p>
    <w:p>
      <w:pPr>
        <w:spacing w:after="20"/>
        <w:ind w:left="216" w:hanging="216"/>
      </w:pPr>
      <w:r>
        <w:rPr>
          <w:sz w:val="16"/>
        </w:rPr>
        <w:t>[3] M. Mitchell et al., “Model cards for model reporting,” in Proc. Conference on Fairness, Accountability, and Transparency, 2019, pp. 220–229, doi: 10.1145/3287560.3287596.</w:t>
      </w:r>
    </w:p>
    <w:p>
      <w:pPr>
        <w:spacing w:after="20"/>
        <w:ind w:left="216" w:hanging="216"/>
      </w:pPr>
      <w:r>
        <w:rPr>
          <w:sz w:val="16"/>
        </w:rPr>
        <w:t>[4] T. Gebru et al., “Datasheets for datasets,” Communications of the ACM, vol. 64, no. 12, pp. 86–92, 2021, doi: 10.1145/3458723.</w:t>
      </w:r>
    </w:p>
    <w:p>
      <w:pPr>
        <w:spacing w:after="20"/>
        <w:ind w:left="216" w:hanging="216"/>
      </w:pPr>
      <w:r>
        <w:rPr>
          <w:sz w:val="16"/>
        </w:rPr>
        <w:t>[5] S. Barocas, M. Hardt, and A. Narayanan, Fairness and Machine Learning: Limitations and Opportunities. MIT Press, 2023.</w:t>
      </w:r>
    </w:p>
    <w:p>
      <w:pPr>
        <w:spacing w:after="20"/>
        <w:ind w:left="216" w:hanging="216"/>
      </w:pPr>
      <w:r>
        <w:rPr>
          <w:sz w:val="16"/>
        </w:rPr>
        <w:t>[6] R. K. E. Bellamy et al., “AI Fairness 360: An extensible toolkit for detecting and mitigating algorithmic bias,” IBM Journal of Research and Development, vol. 63, no. 4/5, pp. 4:1–4:15, 2019, doi: 10.1147/JRD.2019.2942287.</w:t>
      </w:r>
    </w:p>
    <w:p>
      <w:pPr>
        <w:spacing w:after="20"/>
        <w:ind w:left="216" w:hanging="216"/>
      </w:pPr>
      <w:r>
        <w:rPr>
          <w:sz w:val="16"/>
        </w:rPr>
        <w:t>[7] M. T. Ribeiro, S. Singh, and C. Guestrin, “Why should I trust you? Explaining the predictions of any classifier,” in Proc. 22nd ACM SIGKDD Int. Conf. Knowledge Discovery and Data Mining, 2016, pp. 1135–1144, doi: 10.1145/2939672.2939778.</w:t>
      </w:r>
    </w:p>
    <w:p>
      <w:pPr>
        <w:spacing w:after="20"/>
        <w:ind w:left="216" w:hanging="216"/>
      </w:pPr>
      <w:r>
        <w:rPr>
          <w:sz w:val="16"/>
        </w:rPr>
        <w:t>[8] S. M. Lundberg and S.-I. Lee, “A unified approach to interpreting model predictions,” in Advances in Neural Information Processing Systems 30, 2017, pp. 4765–4774.</w:t>
      </w:r>
    </w:p>
    <w:p>
      <w:pPr>
        <w:spacing w:after="20"/>
        <w:ind w:left="216" w:hanging="216"/>
      </w:pPr>
      <w:r>
        <w:rPr>
          <w:sz w:val="16"/>
        </w:rPr>
        <w:t>[9] NIST, Artificial Intelligence Risk Management Framework: Generative Artificial Intelligence Profile, NIST AI 600-1, July 2024, doi: 10.6028/NIST.AI.600-1.</w:t>
      </w:r>
    </w:p>
    <w:p>
      <w:pPr>
        <w:spacing w:after="20"/>
        <w:ind w:left="216" w:hanging="216"/>
      </w:pPr>
      <w:r>
        <w:rPr>
          <w:sz w:val="16"/>
        </w:rPr>
        <w:t>[10] IEEE, IEEE Std 7000-2021, IEEE Standard Model Process for Addressing Ethical Concerns during System Design, 2021.</w:t>
      </w:r>
    </w:p>
    <w:sectPr>
      <w:type w:val="continuous"/>
      <w:pgSz w:w="12240" w:h="15840"/>
      <w:pgMar w:top="1008" w:right="936" w:bottom="1008" w:left="936" w:header="720" w:footer="720" w:gutter="0"/>
      <w:cols w:num="2" w:space="360"/>
      <w:docGrid w:linePitch="360"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auto"/>
    <w:pitch w:val="variable"/>
    <w:sig w:usb0="E0002AFF" w:usb1="C0007841" w:usb2="00000009" w:usb3="00000000" w:csb0="000001FF" w:csb1="00000000"/>
  </w:font>
  <w:font w:name="宋体">
    <w:panose1 w:val="00000000000000000000"/>
    <w:charset w:val="00"/>
    <w:family w:val="auto"/>
    <w:pitch w:val="variable"/>
    <w:sig w:usb0="00000000" w:usb1="00000000" w:usb2="00000000" w:usb3="00000000" w:csb0="00000000" w:csb1="00000000"/>
  </w:font>
  <w:font w:name="ＭＳ 明朝">
    <w:altName w:val="Droid Sans"/>
    <w:panose1 w:val="00000000000000000000"/>
    <w:charset w:val="80"/>
    <w:family w:val="roman"/>
    <w:pitch w:val="variable"/>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ＭＳ ゴシック">
    <w:altName w:val="Droid Sans"/>
    <w:panose1 w:val="00000000000000000000"/>
    <w:charset w:val="80"/>
    <w:family w:val="modern"/>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Cambria">
    <w:panose1 w:val="02040503050406030204"/>
    <w:charset w:val="00"/>
    <w:family w:val="auto"/>
    <w:pitch w:val="variable"/>
    <w:sig w:usb0="E00002FF" w:usb1="400004FF" w:usb2="00000000" w:usb3="00000000" w:csb0="0000019F" w:csb1="00000000"/>
  </w:font>
  <w:font w:name="Courier">
    <w:altName w:val="Courier New"/>
    <w:panose1 w:val="02000500000000000000"/>
    <w:charset w:val="00"/>
    <w:family w:val="auto"/>
    <w:pitch w:val="variable"/>
    <w:sig w:usb0="00000003" w:usb1="00000000" w:usb2="00000000" w:usb3="00000000" w:csb0="00000001" w:csb1="00000000"/>
  </w:font>
  <w:font w:name="Symbol">
    <w:panose1 w:val="00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singleLevel"/>
    <w:tmpl w:val="29761A62"/>
    <w:lvl w:ilvl="0">
      <w:start w:val="1"/>
      <w:numFmt w:val="bullet"/>
      <w:lvlRestart w:val="0"/>
      <w:pStyle w:val="27"/>
      <w:lvlText w:val=""/>
      <w:lvlJc w:val="left"/>
      <w:pPr>
        <w:tabs>
          <w:tab w:val="num" w:pos="360"/>
        </w:tabs>
        <w:ind w:left="360" w:hanging="360"/>
      </w:pPr>
      <w:rPr>
        <w:rFonts w:ascii="Symbol" w:hAnsi="Symbol" w:hint="default"/>
      </w:rPr>
    </w:lvl>
  </w:abstractNum>
  <w:abstractNum w:abstractNumId="1">
    <w:multiLevelType w:val="singleLevel"/>
    <w:tmpl w:val="3D1EFFD4"/>
    <w:lvl w:ilvl="0">
      <w:start w:val="1"/>
      <w:numFmt w:val="bullet"/>
      <w:lvlRestart w:val="0"/>
      <w:pStyle w:val="28"/>
      <w:lvlText w:val=""/>
      <w:lvlJc w:val="left"/>
      <w:pPr>
        <w:tabs>
          <w:tab w:val="num" w:pos="720"/>
        </w:tabs>
        <w:ind w:left="720" w:hanging="360"/>
      </w:pPr>
      <w:rPr>
        <w:rFonts w:ascii="Symbol" w:hAnsi="Symbol" w:hint="default"/>
      </w:rPr>
    </w:lvl>
  </w:abstractNum>
  <w:abstractNum w:abstractNumId="2">
    <w:multiLevelType w:val="singleLevel"/>
    <w:tmpl w:val="F3EAFDEC"/>
    <w:lvl w:ilvl="0">
      <w:start w:val="1"/>
      <w:numFmt w:val="bullet"/>
      <w:lvlRestart w:val="0"/>
      <w:pStyle w:val="29"/>
      <w:lvlText w:val=""/>
      <w:lvlJc w:val="left"/>
      <w:pPr>
        <w:tabs>
          <w:tab w:val="num" w:pos="1080"/>
        </w:tabs>
        <w:ind w:left="1080" w:hanging="360"/>
      </w:pPr>
      <w:rPr>
        <w:rFonts w:ascii="Symbol" w:hAnsi="Symbol" w:hint="default"/>
      </w:rPr>
    </w:lvl>
  </w:abstractNum>
  <w:abstractNum w:abstractNumId="3">
    <w:multiLevelType w:val="singleLevel"/>
    <w:tmpl w:val="D0A62B40"/>
    <w:lvl w:ilvl="0">
      <w:start w:val="1"/>
      <w:numFmt w:val="decimal"/>
      <w:lvlRestart w:val="0"/>
      <w:pStyle w:val="30"/>
      <w:lvlText w:val="%1."/>
      <w:lvlJc w:val="left"/>
      <w:pPr>
        <w:tabs>
          <w:tab w:val="num" w:pos="360"/>
        </w:tabs>
        <w:ind w:left="360" w:hanging="360"/>
      </w:pPr>
    </w:lvl>
  </w:abstractNum>
  <w:abstractNum w:abstractNumId="4">
    <w:multiLevelType w:val="singleLevel"/>
    <w:tmpl w:val="38441652"/>
    <w:lvl w:ilvl="0">
      <w:start w:val="1"/>
      <w:numFmt w:val="decimal"/>
      <w:lvlRestart w:val="0"/>
      <w:pStyle w:val="31"/>
      <w:lvlText w:val="%1."/>
      <w:lvlJc w:val="left"/>
      <w:pPr>
        <w:tabs>
          <w:tab w:val="num" w:pos="720"/>
        </w:tabs>
        <w:ind w:left="720" w:hanging="360"/>
      </w:pPr>
    </w:lvl>
  </w:abstractNum>
  <w:abstractNum w:abstractNumId="5">
    <w:multiLevelType w:val="singleLevel"/>
    <w:tmpl w:val="FB12693A"/>
    <w:lvl w:ilvl="0">
      <w:start w:val="1"/>
      <w:numFmt w:val="decimal"/>
      <w:lvlRestart w:val="0"/>
      <w:pStyle w:val="32"/>
      <w:lvlText w:val="%1."/>
      <w:lvlJc w:val="left"/>
      <w:pPr>
        <w:tabs>
          <w:tab w:val="num" w:pos="1080"/>
        </w:tabs>
        <w:ind w:left="1080" w:hanging="360"/>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88"/>
  <w:bordersDoNotSurroundHeader/>
  <w:bordersDoNotSurroundFooter/>
  <w:defaultTabStop w:val="720"/>
  <w:drawingGridHorizontalSpacing w:val="100"/>
  <w:drawingGridVerticalSpacing w:val="156"/>
  <w:displayHorizontalDrawingGridEvery w:val="0"/>
  <w:displayVerticalDrawingGridEvery w:val="1"/>
  <w:savePreviewPicture/>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0" w:line="240" w:lineRule="auto"/>
    </w:pPr>
    <w:rPr>
      <w:rFonts w:ascii="Times New Roman" w:eastAsia="ＭＳ 明朝" w:cs="Arial" w:hAnsi="Times New Roman"/>
      <w:sz w:val="20"/>
      <w:szCs w:val="22"/>
      <w:lang w:val="en-US" w:eastAsia="en-US" w:bidi="ar-SA"/>
    </w:rPr>
  </w:style>
  <w:style w:type="paragraph" w:styleId="1">
    <w:name w:val="heading 1"/>
    <w:basedOn w:val="0"/>
    <w:next w:val="0"/>
    <w:pPr>
      <w:keepNext/>
      <w:keepLines/>
      <w:spacing w:before="160" w:after="60"/>
      <w:outlineLvl w:val="0"/>
    </w:pPr>
    <w:rPr>
      <w:rFonts w:ascii="Times New Roman" w:eastAsia="ＭＳ ゴシック" w:cs="Times New Roman" w:hAnsi="Times New Roman"/>
      <w:b w:val="0"/>
      <w:bCs/>
      <w:caps/>
      <w:smallCaps w:val="0"/>
      <w:color w:val="365F91"/>
      <w:sz w:val="20"/>
      <w:szCs w:val="28"/>
    </w:rPr>
  </w:style>
  <w:style w:type="paragraph" w:styleId="2">
    <w:name w:val="heading 2"/>
    <w:basedOn w:val="0"/>
    <w:next w:val="0"/>
    <w:pPr>
      <w:keepNext/>
      <w:keepLines/>
      <w:spacing w:before="100" w:after="40"/>
      <w:outlineLvl w:val="1"/>
    </w:pPr>
    <w:rPr>
      <w:rFonts w:ascii="Times New Roman" w:eastAsia="ＭＳ ゴシック" w:cs="Times New Roman" w:hAnsi="Times New Roman"/>
      <w:b w:val="0"/>
      <w:bCs/>
      <w:i/>
      <w:color w:val="4F81BD"/>
      <w:sz w:val="20"/>
      <w:szCs w:val="26"/>
    </w:rPr>
  </w:style>
  <w:style w:type="paragraph" w:styleId="3">
    <w:name w:val="heading 3"/>
    <w:basedOn w:val="0"/>
    <w:next w:val="0"/>
    <w:pPr>
      <w:keepNext/>
      <w:keepLines/>
      <w:spacing w:before="200" w:after="0"/>
      <w:outlineLvl w:val="2"/>
    </w:pPr>
    <w:rPr>
      <w:rFonts w:ascii="Calibri" w:eastAsia="ＭＳ ゴシック" w:cs="Times New Roman" w:hAnsi="Calibri"/>
      <w:b/>
      <w:bCs/>
      <w:color w:val="4F81BD"/>
    </w:rPr>
  </w:style>
  <w:style w:type="paragraph" w:styleId="4">
    <w:name w:val="heading 4"/>
    <w:basedOn w:val="0"/>
    <w:next w:val="0"/>
    <w:pPr>
      <w:keepNext/>
      <w:keepLines/>
      <w:spacing w:before="200" w:after="0"/>
      <w:outlineLvl w:val="3"/>
    </w:pPr>
    <w:rPr>
      <w:rFonts w:ascii="Calibri" w:eastAsia="ＭＳ ゴシック" w:cs="Times New Roman" w:hAnsi="Calibri"/>
      <w:b/>
      <w:bCs/>
      <w:i/>
      <w:iCs/>
      <w:color w:val="4F81BD"/>
    </w:rPr>
  </w:style>
  <w:style w:type="paragraph" w:styleId="5">
    <w:name w:val="heading 5"/>
    <w:basedOn w:val="0"/>
    <w:next w:val="0"/>
    <w:pPr>
      <w:keepNext/>
      <w:keepLines/>
      <w:spacing w:before="200" w:after="0"/>
      <w:outlineLvl w:val="4"/>
    </w:pPr>
    <w:rPr>
      <w:rFonts w:ascii="Calibri" w:eastAsia="ＭＳ ゴシック" w:cs="Times New Roman" w:hAnsi="Calibri"/>
      <w:color w:val="243F60"/>
    </w:rPr>
  </w:style>
  <w:style w:type="paragraph" w:styleId="6">
    <w:name w:val="heading 6"/>
    <w:basedOn w:val="0"/>
    <w:next w:val="0"/>
    <w:pPr>
      <w:keepNext/>
      <w:keepLines/>
      <w:spacing w:before="200" w:after="0"/>
      <w:outlineLvl w:val="5"/>
    </w:pPr>
    <w:rPr>
      <w:rFonts w:ascii="Calibri" w:eastAsia="ＭＳ ゴシック" w:cs="Times New Roman" w:hAnsi="Calibri"/>
      <w:i/>
      <w:iCs/>
      <w:color w:val="243F60"/>
    </w:rPr>
  </w:style>
  <w:style w:type="paragraph" w:styleId="7">
    <w:name w:val="heading 7"/>
    <w:basedOn w:val="0"/>
    <w:next w:val="0"/>
    <w:pPr>
      <w:keepNext/>
      <w:keepLines/>
      <w:spacing w:before="200" w:after="0"/>
      <w:outlineLvl w:val="6"/>
    </w:pPr>
    <w:rPr>
      <w:rFonts w:ascii="Calibri" w:eastAsia="ＭＳ ゴシック" w:cs="Times New Roman" w:hAnsi="Calibri"/>
      <w:i/>
      <w:iCs/>
      <w:color w:val="404040"/>
    </w:rPr>
  </w:style>
  <w:style w:type="paragraph" w:styleId="8">
    <w:name w:val="heading 8"/>
    <w:basedOn w:val="0"/>
    <w:next w:val="0"/>
    <w:pPr>
      <w:keepNext/>
      <w:keepLines/>
      <w:spacing w:before="200" w:after="0"/>
      <w:outlineLvl w:val="7"/>
    </w:pPr>
    <w:rPr>
      <w:rFonts w:ascii="Calibri" w:eastAsia="ＭＳ ゴシック" w:cs="Times New Roman" w:hAnsi="Calibri"/>
      <w:color w:val="4F81BD"/>
      <w:sz w:val="20"/>
      <w:szCs w:val="20"/>
    </w:rPr>
  </w:style>
  <w:style w:type="paragraph" w:styleId="9">
    <w:name w:val="heading 9"/>
    <w:basedOn w:val="0"/>
    <w:next w:val="0"/>
    <w:pPr>
      <w:keepNext/>
      <w:keepLines/>
      <w:spacing w:before="200" w:after="0"/>
      <w:outlineLvl w:val="8"/>
    </w:pPr>
    <w:rPr>
      <w:rFonts w:ascii="Calibri" w:eastAsia="ＭＳ ゴシック" w:cs="Times New Roman" w:hAnsi="Calibri"/>
      <w:i/>
      <w:iCs/>
      <w:color w:val="404040"/>
      <w:sz w:val="20"/>
      <w:szCs w:val="20"/>
    </w:rPr>
  </w:style>
  <w:style w:type="character" w:default="1" w:styleId="10">
    <w:name w:val="Default Paragraph Font"/>
  </w:style>
  <w:style w:type="paragraph" w:styleId="15">
    <w:name w:val="header"/>
    <w:basedOn w:val="0"/>
    <w:pPr>
      <w:tabs>
        <w:tab w:val="center" w:pos="4680"/>
        <w:tab w:val="right" w:pos="9360"/>
      </w:tabs>
      <w:spacing w:after="0" w:line="240" w:lineRule="auto"/>
    </w:pPr>
  </w:style>
  <w:style w:type="paragraph" w:styleId="16">
    <w:name w:val="footer"/>
    <w:basedOn w:val="0"/>
    <w:pPr>
      <w:tabs>
        <w:tab w:val="center" w:pos="4680"/>
        <w:tab w:val="right" w:pos="9360"/>
      </w:tabs>
      <w:spacing w:after="0" w:line="240" w:lineRule="auto"/>
    </w:pPr>
  </w:style>
  <w:style w:type="paragraph" w:customStyle="1" w:styleId="17">
    <w:name w:val="No Spacing"/>
    <w:pPr>
      <w:spacing w:after="0" w:line="240" w:lineRule="auto"/>
    </w:pPr>
    <w:rPr>
      <w:rFonts w:ascii="Cambria" w:eastAsia="ＭＳ 明朝" w:cs="Arial" w:hAnsi="Cambria"/>
      <w:sz w:val="22"/>
      <w:szCs w:val="22"/>
      <w:lang w:val="en-US" w:eastAsia="en-US" w:bidi="ar-SA"/>
    </w:rPr>
  </w:style>
  <w:style w:type="paragraph" w:styleId="18">
    <w:name w:val="Title"/>
    <w:basedOn w:val="0"/>
    <w:next w:val="0"/>
    <w:pPr>
      <w:pBdr>
        <w:bottom w:val="single" w:sz="8" w:space="4" w:color="4F81BD"/>
      </w:pBdr>
      <w:spacing w:after="300" w:line="240" w:lineRule="auto"/>
      <w:contextualSpacing/>
    </w:pPr>
    <w:rPr>
      <w:rFonts w:ascii="Calibri" w:eastAsia="ＭＳ ゴシック" w:cs="Times New Roman" w:hAnsi="Calibri"/>
      <w:color w:val="17365D"/>
      <w:spacing w:val="5"/>
      <w:kern w:val="28"/>
      <w:sz w:val="52"/>
      <w:szCs w:val="52"/>
    </w:rPr>
  </w:style>
  <w:style w:type="paragraph" w:styleId="19">
    <w:name w:val="Subtitle"/>
    <w:basedOn w:val="0"/>
    <w:next w:val="0"/>
    <w:rPr>
      <w:rFonts w:ascii="Calibri" w:eastAsia="ＭＳ ゴシック" w:cs="Times New Roman" w:hAnsi="Calibri"/>
      <w:i/>
      <w:iCs/>
      <w:color w:val="4F81BD"/>
      <w:spacing w:val="15"/>
      <w:sz w:val="24"/>
      <w:szCs w:val="24"/>
    </w:rPr>
  </w:style>
  <w:style w:type="paragraph" w:customStyle="1" w:styleId="20">
    <w:name w:val="List Paragraph"/>
    <w:basedOn w:val="0"/>
    <w:pPr>
      <w:ind w:left="720"/>
      <w:contextualSpacing/>
    </w:pPr>
  </w:style>
  <w:style w:type="paragraph" w:styleId="21">
    <w:name w:val="Body Text"/>
    <w:basedOn w:val="0"/>
    <w:pPr>
      <w:spacing w:after="120"/>
    </w:pPr>
  </w:style>
  <w:style w:type="paragraph" w:styleId="22">
    <w:name w:val="Body Text 2"/>
    <w:basedOn w:val="0"/>
    <w:pPr>
      <w:spacing w:after="120" w:line="480" w:lineRule="auto"/>
    </w:pPr>
  </w:style>
  <w:style w:type="paragraph" w:styleId="23">
    <w:name w:val="Body Text 3"/>
    <w:basedOn w:val="0"/>
    <w:pPr>
      <w:spacing w:after="120"/>
    </w:pPr>
    <w:rPr>
      <w:sz w:val="16"/>
      <w:szCs w:val="16"/>
    </w:rPr>
  </w:style>
  <w:style w:type="paragraph" w:styleId="24">
    <w:name w:val="List"/>
    <w:basedOn w:val="0"/>
    <w:pPr>
      <w:ind w:left="360" w:hanging="360"/>
      <w:contextualSpacing/>
    </w:pPr>
  </w:style>
  <w:style w:type="paragraph" w:styleId="25">
    <w:name w:val="List 2"/>
    <w:basedOn w:val="0"/>
    <w:pPr>
      <w:ind w:left="720" w:hanging="360"/>
      <w:contextualSpacing/>
    </w:pPr>
  </w:style>
  <w:style w:type="paragraph" w:styleId="26">
    <w:name w:val="List 3"/>
    <w:basedOn w:val="0"/>
    <w:pPr>
      <w:ind w:left="1080" w:hanging="360"/>
      <w:contextualSpacing/>
    </w:pPr>
  </w:style>
  <w:style w:type="paragraph" w:styleId="27">
    <w:name w:val="List Bullet"/>
    <w:basedOn w:val="0"/>
    <w:pPr>
      <w:numPr>
        <w:ilvl w:val="0"/>
        <w:numId w:val="1"/>
      </w:numPr>
      <w:contextualSpacing/>
    </w:pPr>
  </w:style>
  <w:style w:type="paragraph" w:styleId="28">
    <w:name w:val="List Bullet 2"/>
    <w:basedOn w:val="0"/>
    <w:pPr>
      <w:numPr>
        <w:ilvl w:val="0"/>
        <w:numId w:val="2"/>
      </w:numPr>
      <w:contextualSpacing/>
    </w:pPr>
  </w:style>
  <w:style w:type="paragraph" w:styleId="29">
    <w:name w:val="List Bullet 3"/>
    <w:basedOn w:val="0"/>
    <w:pPr>
      <w:numPr>
        <w:ilvl w:val="0"/>
        <w:numId w:val="3"/>
      </w:numPr>
      <w:contextualSpacing/>
    </w:pPr>
  </w:style>
  <w:style w:type="paragraph" w:styleId="30">
    <w:name w:val="List Number"/>
    <w:basedOn w:val="0"/>
    <w:pPr>
      <w:numPr>
        <w:ilvl w:val="0"/>
        <w:numId w:val="4"/>
      </w:numPr>
      <w:contextualSpacing/>
    </w:pPr>
  </w:style>
  <w:style w:type="paragraph" w:styleId="31">
    <w:name w:val="List Number 2"/>
    <w:basedOn w:val="0"/>
    <w:pPr>
      <w:numPr>
        <w:ilvl w:val="0"/>
        <w:numId w:val="5"/>
      </w:numPr>
      <w:contextualSpacing/>
    </w:pPr>
  </w:style>
  <w:style w:type="paragraph" w:styleId="32">
    <w:name w:val="List Number 3"/>
    <w:basedOn w:val="0"/>
    <w:pPr>
      <w:numPr>
        <w:ilvl w:val="0"/>
        <w:numId w:val="6"/>
      </w:numPr>
      <w:contextualSpacing/>
    </w:pPr>
  </w:style>
  <w:style w:type="paragraph" w:styleId="33">
    <w:name w:val="List Continue"/>
    <w:basedOn w:val="0"/>
    <w:pPr>
      <w:spacing w:after="120"/>
      <w:ind w:left="360"/>
      <w:contextualSpacing/>
    </w:pPr>
  </w:style>
  <w:style w:type="paragraph" w:styleId="34">
    <w:name w:val="List Continue 2"/>
    <w:basedOn w:val="0"/>
    <w:pPr>
      <w:spacing w:after="120"/>
      <w:ind w:left="720"/>
      <w:contextualSpacing/>
    </w:pPr>
  </w:style>
  <w:style w:type="paragraph" w:styleId="35">
    <w:name w:val="List Continue 3"/>
    <w:basedOn w:val="0"/>
    <w:pPr>
      <w:spacing w:after="120"/>
      <w:ind w:left="1080"/>
      <w:contextualSpacing/>
    </w:pPr>
  </w:style>
  <w:style w:type="paragraph" w:styleId="36">
    <w:name w:val="macro"/>
    <w:pPr>
      <w:tabs>
        <w:tab w:val="left" w:pos="576"/>
        <w:tab w:val="left" w:pos="1152"/>
        <w:tab w:val="left" w:pos="1728"/>
        <w:tab w:val="left" w:pos="2304"/>
        <w:tab w:val="left" w:pos="2880"/>
        <w:tab w:val="left" w:pos="3456"/>
        <w:tab w:val="left" w:pos="4032"/>
      </w:tabs>
      <w:spacing w:after="200" w:line="276" w:lineRule="auto"/>
    </w:pPr>
    <w:rPr>
      <w:rFonts w:ascii="Courier" w:eastAsia="ＭＳ 明朝" w:cs="Arial" w:hAnsi="Courier"/>
      <w:sz w:val="20"/>
      <w:szCs w:val="20"/>
      <w:lang w:val="en-US" w:eastAsia="en-US" w:bidi="ar-SA"/>
    </w:rPr>
  </w:style>
  <w:style w:type="paragraph" w:customStyle="1" w:styleId="37">
    <w:name w:val="Quote"/>
    <w:basedOn w:val="0"/>
    <w:next w:val="0"/>
    <w:rPr>
      <w:i/>
      <w:iCs/>
      <w:color w:val="000000"/>
    </w:rPr>
  </w:style>
  <w:style w:type="paragraph" w:styleId="38">
    <w:name w:val="caption"/>
    <w:basedOn w:val="0"/>
    <w:next w:val="0"/>
    <w:pPr>
      <w:spacing w:line="240" w:lineRule="auto"/>
    </w:pPr>
    <w:rPr>
      <w:b/>
      <w:bCs/>
      <w:color w:val="4F81BD"/>
      <w:sz w:val="18"/>
      <w:szCs w:val="18"/>
    </w:rPr>
  </w:style>
  <w:style w:type="character" w:styleId="39">
    <w:name w:val="Strong"/>
    <w:basedOn w:val="10"/>
    <w:rPr>
      <w:b/>
      <w:bCs/>
    </w:rPr>
  </w:style>
  <w:style w:type="character" w:styleId="40">
    <w:name w:val="Emphasis"/>
    <w:basedOn w:val="10"/>
    <w:rPr>
      <w:i/>
      <w:iCs/>
    </w:rPr>
  </w:style>
  <w:style w:type="paragraph" w:customStyle="1" w:styleId="41">
    <w:name w:val="Intense Quote"/>
    <w:basedOn w:val="0"/>
    <w:next w:val="0"/>
    <w:pPr>
      <w:pBdr>
        <w:bottom w:val="single" w:sz="4" w:space="4" w:color="4F81BD"/>
      </w:pBdr>
      <w:spacing w:before="200" w:after="280"/>
      <w:ind w:left="936" w:right="936"/>
    </w:pPr>
    <w:rPr>
      <w:b/>
      <w:bCs/>
      <w:i/>
      <w:iCs/>
      <w:color w:val="4F81BD"/>
    </w:rPr>
  </w:style>
  <w:style w:type="character" w:customStyle="1" w:styleId="42">
    <w:name w:val="Subtle Emphasis"/>
    <w:basedOn w:val="10"/>
    <w:rPr>
      <w:i/>
      <w:iCs/>
      <w:color w:val="808080"/>
    </w:rPr>
  </w:style>
  <w:style w:type="character" w:customStyle="1" w:styleId="43">
    <w:name w:val="Intense Emphasis"/>
    <w:basedOn w:val="10"/>
    <w:rPr>
      <w:b/>
      <w:bCs/>
      <w:i/>
      <w:iCs/>
      <w:color w:val="4F81BD"/>
    </w:rPr>
  </w:style>
  <w:style w:type="character" w:customStyle="1" w:styleId="44">
    <w:name w:val="Subtle Reference"/>
    <w:basedOn w:val="10"/>
    <w:rPr>
      <w:caps w:val="0"/>
      <w:smallCaps/>
      <w:color w:val="C0504D"/>
      <w:u w:val="single"/>
    </w:rPr>
  </w:style>
  <w:style w:type="character" w:customStyle="1" w:styleId="45">
    <w:name w:val="Intense Reference"/>
    <w:basedOn w:val="10"/>
    <w:rPr>
      <w:b/>
      <w:bCs/>
      <w:caps w:val="0"/>
      <w:smallCaps/>
      <w:color w:val="C0504D"/>
      <w:spacing w:val="5"/>
      <w:u w:val="single"/>
    </w:rPr>
  </w:style>
  <w:style w:type="character" w:customStyle="1" w:styleId="46">
    <w:name w:val="Book Title"/>
    <w:basedOn w:val="10"/>
    <w:rPr>
      <w:b/>
      <w:bCs/>
      <w:caps w:val="0"/>
      <w:smallCaps/>
      <w:spacing w:val="5"/>
    </w:rPr>
  </w:style>
  <w:style w:type="paragraph" w:customStyle="1" w:styleId="47">
    <w:name w:val="TOC Heading"/>
    <w:basedOn w:val="1"/>
    <w:next w:val="0"/>
    <w:pPr>
      <w:outlineLvl w:val="9"/>
    </w:pPr>
  </w:style>
  <w:style w:type="paragraph" w:customStyle="1" w:styleId="48">
    <w:name w:val="Paper Title"/>
    <w:pPr>
      <w:spacing w:after="200" w:line="276" w:lineRule="auto"/>
    </w:pPr>
    <w:rPr>
      <w:rFonts w:ascii="Times New Roman" w:eastAsia="ＭＳ 明朝" w:cs="Arial" w:hAnsi="Times New Roman"/>
      <w:b w:val="0"/>
      <w:sz w:val="48"/>
      <w:szCs w:val="22"/>
      <w:lang w:val="en-US" w:eastAsia="en-US" w:bidi="ar-SA"/>
    </w:rPr>
  </w:style>
  <w:style w:type="paragraph" w:customStyle="1" w:styleId="49">
    <w:name w:val="Author"/>
    <w:pPr>
      <w:spacing w:after="200" w:line="276" w:lineRule="auto"/>
    </w:pPr>
    <w:rPr>
      <w:rFonts w:ascii="Times New Roman" w:eastAsia="ＭＳ 明朝" w:cs="Arial" w:hAnsi="Times New Roman"/>
      <w:b w:val="0"/>
      <w:sz w:val="22"/>
      <w:szCs w:val="22"/>
      <w:lang w:val="en-US" w:eastAsia="en-US" w:bidi="ar-SA"/>
    </w:rPr>
  </w:style>
  <w:style w:type="paragraph" w:customStyle="1" w:styleId="50">
    <w:name w:val="Abstract"/>
    <w:pPr>
      <w:spacing w:after="200" w:line="276" w:lineRule="auto"/>
    </w:pPr>
    <w:rPr>
      <w:rFonts w:ascii="Times New Roman" w:eastAsia="ＭＳ 明朝" w:cs="Arial" w:hAnsi="Times New Roman"/>
      <w:b w:val="0"/>
      <w:sz w:val="18"/>
      <w:szCs w:val="22"/>
      <w:lang w:val="en-US" w:eastAsia="en-US" w:bidi="ar-SA"/>
    </w:rPr>
  </w:style>
  <w:style w:type="paragraph" w:customStyle="1" w:styleId="51">
    <w:name w:val="Keywords"/>
    <w:pPr>
      <w:spacing w:after="200" w:line="276" w:lineRule="auto"/>
    </w:pPr>
    <w:rPr>
      <w:rFonts w:ascii="Times New Roman" w:eastAsia="ＭＳ 明朝" w:cs="Arial" w:hAnsi="Times New Roman"/>
      <w:b w:val="0"/>
      <w:sz w:val="18"/>
      <w:szCs w:val="22"/>
      <w:lang w:val="en-US" w:eastAsia="en-US" w:bidi="ar-SA"/>
    </w:rPr>
  </w:style>
</w:styles>
</file>

<file path=word/_rels/document.xml.rels><?xml version="1.0" encoding="UTF-8" standalone="yes"?>
<Relationships xmlns="http://schemas.openxmlformats.org/package/2006/relationships"><Relationship Id="rId3" Type="http://schemas.openxmlformats.org/officeDocument/2006/relationships/numbering" Target="numbering.xml"/><Relationship Id="rId7"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settings" Target="settings.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fontTable" Target="fontTable.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705BFBD7D7D0F459F2EB6DF2A577303" ma:contentTypeVersion="12" ma:contentTypeDescription="Create a new document." ma:contentTypeScope="" ma:versionID="8528867ffa347892931992dba061e8fc">
  <xsd:schema xmlns:xsd="http://www.w3.org/2001/XMLSchema" xmlns:xs="http://www.w3.org/2001/XMLSchema" xmlns:p="http://schemas.microsoft.com/office/2006/metadata/properties" xmlns:ns2="01a789ed-3b06-4a12-abcb-8250f314dd0b" xmlns:ns3="44678d20-5b6e-4792-b133-ca784477d689" targetNamespace="http://schemas.microsoft.com/office/2006/metadata/properties" ma:root="true" ma:fieldsID="3a6a2aa65aa1b5a2272dcd5b5e15d211" ns2:_="" ns3:_="">
    <xsd:import namespace="01a789ed-3b06-4a12-abcb-8250f314dd0b"/>
    <xsd:import namespace="44678d20-5b6e-4792-b133-ca784477d689"/>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a789ed-3b06-4a12-abcb-8250f314dd0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5c09e8c-4242-4efc-8aa0-958213fa9c5a"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4678d20-5b6e-4792-b133-ca784477d689"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9a17da5-126c-488b-b448-998f78a263bb}" ma:internalName="TaxCatchAll" ma:showField="CatchAllData" ma:web="44678d20-5b6e-4792-b133-ca784477d68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01a789ed-3b06-4a12-abcb-8250f314dd0b" xsi:nil="true"/>
    <lcf76f155ced4ddcb4097134ff3c332f xmlns="01a789ed-3b06-4a12-abcb-8250f314dd0b">
      <Terms xmlns="http://schemas.microsoft.com/office/infopath/2007/PartnerControls"/>
    </lcf76f155ced4ddcb4097134ff3c332f>
    <TaxCatchAll xmlns="44678d20-5b6e-4792-b133-ca784477d689" xsi:nil="true"/>
  </documentManagement>
</p:properties>
</file>

<file path=customXml/itemProps1.xml><?xml version="1.0" encoding="utf-8"?>
<ds:datastoreItem xmlns:ds="http://schemas.openxmlformats.org/officeDocument/2006/customXml" ds:itemID="{BFCEBF9A-7158-43E1-AB6D-938B189B7988}"/>
</file>

<file path=customXml/itemProps2.xml><?xml version="1.0" encoding="utf-8"?>
<ds:datastoreItem xmlns:ds="http://schemas.openxmlformats.org/officeDocument/2006/customXml" ds:itemID="{9A327A00-E384-4616-9873-F69CBD265CA1}"/>
</file>

<file path=customXml/itemProps3.xml><?xml version="1.0" encoding="utf-8"?>
<ds:datastoreItem xmlns:ds="http://schemas.openxmlformats.org/officeDocument/2006/customXml" ds:itemID="{B150F0E5-ED28-4DF0-BD42-DE7941E28946}"/>
</file>

<file path=docProps/app.xml><?xml version="1.0" encoding="utf-8"?>
<Properties xmlns="http://schemas.openxmlformats.org/officeDocument/2006/extended-properties">
  <Template>Normal.eit</Template>
  <TotalTime>2</TotalTime>
  <Application>Office</Application>
  <Pages>4</Pages>
  <Words>2139</Words>
  <Characters>13590</Characters>
  <Lines>336</Lines>
  <Paragraphs>81</Paragraphs>
  <CharactersWithSpaces>15640</CharactersWithSpac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Mobile phone user</cp:lastModifiedBy>
  <cp:revision>0</cp:revision>
  <dcterms:modified xsi:type="dcterms:W3CDTF">2026-10-06T01:15:35Z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0x0101003705BFBD7D7D0F459F2EB6DF2A577303</vt:lpwstr>
  </property>
</Properties>
</file>