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87D66"/>
          <w:sz w:val="22"/>
        </w:rPr>
        <w:t>MEDISAFE CHAIN — COMPONENT 4</w:t>
        <w:br/>
      </w:r>
      <w:r>
        <w:rPr>
          <w:rFonts w:ascii="Arial" w:hAnsi="Arial"/>
          <w:b/>
          <w:color w:val="1E293B"/>
          <w:sz w:val="40"/>
        </w:rPr>
        <w:t>Privacy-Preserving Prescription Management</w:t>
        <w:br/>
        <w:t>Complete Guidance &amp; Data Flow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Author / Researcher: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R.A.M.A. Ranasinghe (IT23142978)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Smart Contract: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PrescriptionRegistry.sol (Chain ID: 31337 / Hardhat Localhost)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API &amp; Web Stack: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Node.js/Express (Port 5004) &amp; React/Vite (Port 5173)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Cross-Component Links: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9"/>
              </w:rPr>
              <w:t>Component 2 (Risk Registry) &amp; Component 3 (Pharmacy Trust)</w:t>
            </w:r>
          </w:p>
        </w:tc>
      </w:tr>
    </w:tbl>
    <w:p/>
    <w:p>
      <w:pPr>
        <w:keepNext/>
        <w:spacing w:before="320" w:after="120"/>
        <w:pBdr>
          <w:bottom w:val="single" w:sz="14" w:space="4" w:color="087D66"/>
        </w:pBdr>
      </w:pPr>
      <w:r>
        <w:rPr>
          <w:rFonts w:ascii="Arial" w:hAnsi="Arial"/>
          <w:b/>
          <w:color w:val="087D66"/>
          <w:sz w:val="26"/>
        </w:rPr>
        <w:t>1. Executive Summary &amp; Core Architectural Principles</w:t>
      </w:r>
    </w:p>
    <w:p>
      <w:r>
        <w:t>Component 4 of the MediSafe Chain platform governs the complete lifecycle of pharmaceutical prescriptions. In healthcare supply chains, patient privacy, prescription authenticity, and double-dispense prevention are paramount. Component 4 resolves these challenges by uniting zero-knowledge client-side privacy, direct wallet signing, and multi-layered on-chain smart contract validation.</w:t>
        <w:br/>
      </w:r>
    </w:p>
    <w:p>
      <w:r>
        <w:t>• Zero Personally Identifiable Information (PII) On-Chain: No patient name, date of birth, national ID, or illness data is ever committed to the blockchain or stored on backend servers. Only salt-randomized Keccak256 hashes are stored.</w:t>
        <w:br/>
        <w:t>• Client-Side Encryption: Patient identity records are protected with AES-256-GCM and PBKDF2-SHA256 (310,000 iterations), remaining exclusively in the patient's local custody.</w:t>
        <w:br/>
        <w:t>• Strict Single-Use Enforcement: Smart contract state machines permanently transition prescriptions to status 'USED' upon dispensing, eliminating counterfeit reuse or duplicate claims.</w:t>
        <w:br/>
        <w:t>• Multi-Component Oracle Validation: Before dispensing, the smart contract verifies Component 2 (AI Risk Score &lt;= 69) and Component 3 (Pharmacy Trust Score &gt;= 70).</w:t>
      </w:r>
    </w:p>
    <w:p>
      <w:pPr>
        <w:keepNext/>
        <w:spacing w:before="320" w:after="120"/>
        <w:pBdr>
          <w:bottom w:val="single" w:sz="14" w:space="4" w:color="087D66"/>
        </w:pBdr>
      </w:pPr>
      <w:r>
        <w:rPr>
          <w:rFonts w:ascii="Arial" w:hAnsi="Arial"/>
          <w:b/>
          <w:color w:val="087D66"/>
          <w:sz w:val="26"/>
        </w:rPr>
        <w:t>2. Roles, Accounts &amp; Network Configuration</w:t>
      </w:r>
    </w:p>
    <w:p>
      <w:r>
        <w:t>The system uses OpenZeppelin AccessControl. The following pre-configured accounts are funded and assigned roles in the local Hardhat test network (Chain ID: 31337):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87D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Role / Actor</w:t>
            </w:r>
          </w:p>
        </w:tc>
        <w:tc>
          <w:tcPr>
            <w:tcW w:type="dxa" w:w="2340"/>
            <w:shd w:fill="087D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Address</w:t>
            </w:r>
          </w:p>
        </w:tc>
        <w:tc>
          <w:tcPr>
            <w:tcW w:type="dxa" w:w="2340"/>
            <w:shd w:fill="087D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Role Constant</w:t>
            </w:r>
          </w:p>
        </w:tc>
        <w:tc>
          <w:tcPr>
            <w:tcW w:type="dxa" w:w="2340"/>
            <w:shd w:fill="087D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Permissions &amp; Responsibilities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Doctor (Account 1)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0x2a13ee1f4C69386864A271Bceb401fcd3d91c942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DOCTOR_ROLE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Issue new prescriptions, revoke active prescriptions.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Pharmacy (Account 2)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0x2376C6970c55AB66c4FFcad53A49fb21f862B613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PHARMACY_ROLE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Verify patient credentials, execute dispensing on-chain.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Patient (Account 3)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0x7465C8b4C7a9068c440044222539f993bf4537A7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Off-chain Identity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Generate cryptographic salt/hash, export pharmacy presentation.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Admin (Account 4)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0xd2F150C082261e31F7504f129C799218186C4701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DEFAULT_ADMIN_ROLE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Manage roles, update oracle contracts and risk thresholds.</w:t>
            </w:r>
          </w:p>
        </w:tc>
      </w:tr>
    </w:tbl>
    <w:p/>
    <w:p>
      <w:pPr>
        <w:keepNext/>
        <w:spacing w:before="320" w:after="120"/>
        <w:pBdr>
          <w:bottom w:val="single" w:sz="14" w:space="4" w:color="087D66"/>
        </w:pBdr>
      </w:pPr>
      <w:r>
        <w:rPr>
          <w:rFonts w:ascii="Arial" w:hAnsi="Arial"/>
          <w:b/>
          <w:color w:val="087D66"/>
          <w:sz w:val="26"/>
        </w:rPr>
        <w:t>3. Complete Step-by-Step Flow with Exact Data</w:t>
      </w:r>
    </w:p>
    <w:p>
      <w:r>
        <w:rPr>
          <w:b/>
          <w:color w:val="087D66"/>
          <w:sz w:val="22"/>
        </w:rPr>
        <w:t>STAGE 1: Patient Identity Preparation &amp; Credential Creation</w:t>
      </w:r>
    </w:p>
    <w:p>
      <w:r>
        <w:t>1. Open http://localhost:5173 and click 'Prepare a patient credential'.</w:t>
        <w:br/>
        <w:t>2. The patient fills in their private identity details (or clicks 'Auto-fill test data'):</w:t>
        <w:br/>
        <w:t xml:space="preserve">   • National ID / Passport:  200112345678</w:t>
        <w:br/>
        <w:t xml:space="preserve">   • Full Legal Name:        John Doe</w:t>
        <w:br/>
        <w:t xml:space="preserve">   • Date of Birth:          2001-07-21 (or 07/21/2001)</w:t>
        <w:br/>
        <w:t xml:space="preserve">   • Secret Passphrase:      MedisafeSecret2026! (at least 12 characters)</w:t>
      </w:r>
    </w:p>
    <w:p>
      <w:r>
        <w:t>3. The client application normalizes the identity fields into canonical format: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dateofbirth:2001-07-21|fullname:john doe|nationalid:200112345678</w:t>
            </w:r>
          </w:p>
        </w:tc>
      </w:tr>
    </w:tbl>
    <w:p/>
    <w:p>
      <w:r>
        <w:t>4. A random 32-byte salt is generated (e.g. 0x7c4f1e...)</w:t>
        <w:br/>
        <w:t>5. The Patient Hash is computed using Keccak-256:</w:t>
        <w:br/>
        <w:t xml:space="preserve">   patientHash = solidityPackedKeccak256(['string', 'bytes32'], [canonicalIdentity, salt])</w:t>
        <w:br/>
        <w:t xml:space="preserve">   Result: 0x3a890f5c1209b5329fce831d10294c8e718290f6e3c1294801fb2941038e92d1</w:t>
        <w:br/>
        <w:t>6. The client encrypts the payload into 'medisafe-patient-preparation.json' using PBKDF2-SHA256 (310,000 iterations) + AES-256-GCM.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4F1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color="087D66"/>
              <w:bottom w:val="none"/>
              <w:right w:val="none"/>
            </w:tcBorders>
          </w:tcPr>
          <w:p>
            <w:r>
              <w:rPr>
                <w:rFonts w:ascii="Arial" w:hAnsi="Arial"/>
                <w:b/>
                <w:color w:val="087D66"/>
                <w:sz w:val="19"/>
              </w:rPr>
              <w:t xml:space="preserve">[ZERO-KNOWLEDGE PRIVACY] </w:t>
            </w:r>
            <w:r>
              <w:rPr>
                <w:rFonts w:ascii="Arial" w:hAnsi="Arial"/>
                <w:color w:val="1E293B"/>
                <w:sz w:val="19"/>
              </w:rPr>
              <w:t>The patient keeps 'medisafe-patient-preparation.json' on their device. The patient ONLY shares the public 'patientHash' with their doctor. No doctor, backend server, or blockchain node ever sees the patient's name or national ID.</w:t>
            </w:r>
          </w:p>
        </w:tc>
      </w:tr>
    </w:tbl>
    <w:p/>
    <w:p>
      <w:r>
        <w:rPr>
          <w:b/>
          <w:color w:val="087D66"/>
          <w:sz w:val="22"/>
        </w:rPr>
        <w:t>STAGE 2: Doctor Issues Prescription on Blockchain</w:t>
      </w:r>
    </w:p>
    <w:p>
      <w:r>
        <w:t>1. In MetaMask, select the Doctor account (0x2a13ee1f4C69386864A271Bceb401fcd3d91c942).</w:t>
        <w:br/>
        <w:t>2. Select the 'Doctor' role on the login screen and click 'Connect MetaMask &amp; Sign In'.</w:t>
        <w:br/>
        <w:t>3. MetaMask prompts to sign the EIP-191 authentication challenge issued by the API (Port 5004).</w:t>
        <w:br/>
        <w:t>4. In the Doctor Dashboard under 'Issue a prescription', enter the following data:</w:t>
        <w:br/>
        <w:t xml:space="preserve">   • Patient Privacy Hash:  [Paste the patientHash from Stage 1]</w:t>
        <w:br/>
        <w:t xml:space="preserve">   • Medicine ID:           MED-AMOX-500</w:t>
        <w:br/>
        <w:t xml:space="preserve">   • Batch ID:              BATCH-SAFE-001  (or BATCH-2026-01)</w:t>
        <w:br/>
        <w:t xml:space="preserve">   • Validity Period:       30 days</w:t>
      </w:r>
    </w:p>
    <w:p>
      <w:r>
        <w:t>5. Click 'Issue prescription'. The frontend computes a unique 32-byte Prescription ID:</w:t>
        <w:br/>
        <w:t xml:space="preserve">   prescriptionId = keccak256(doctorAddress, patientHash, timestamp + nonce)</w:t>
        <w:br/>
        <w:t xml:space="preserve">   Example: 0x8a91bc74...12f0</w:t>
        <w:br/>
        <w:t>6. MetaMask prompts to confirm the transaction calling PrescriptionRegistry.issuePrescription().</w:t>
        <w:br/>
        <w:t>7. The blockchain confirms the block, sets status to ACTIVE, and emits PrescriptionIssued event.</w:t>
        <w:br/>
        <w:t>8. Copy the generated Prescription ID from the success alert.</w:t>
      </w:r>
    </w:p>
    <w:p>
      <w:r>
        <w:rPr>
          <w:b/>
          <w:color w:val="087D66"/>
          <w:sz w:val="22"/>
        </w:rPr>
        <w:t>STAGE 3: Patient Prepares Scoped Presentation for Pharmacy</w:t>
      </w:r>
    </w:p>
    <w:p>
      <w:r>
        <w:t>1. In MetaMask, switch to the Patient account (0x2376C6970c55AB66c4FFcad53A49fb21f862B613).</w:t>
        <w:br/>
        <w:t>2. On the login screen, select 'Patient' and enter the Prescription ID from Stage 2.</w:t>
        <w:br/>
        <w:t>3. On the 'Verify your identity' screen, provide:</w:t>
        <w:br/>
        <w:t xml:space="preserve">   • Encrypted Preparation Credential:  Upload medisafe-patient-preparation.json</w:t>
        <w:br/>
        <w:t xml:space="preserve">   • Credential Passphrase:            MedisafeSecret2026!</w:t>
        <w:br/>
        <w:t xml:space="preserve">   • New Pharmacy Passphrase:          PharmacyPass123!</w:t>
        <w:br/>
        <w:t xml:space="preserve">   • Intended Pharmacy Wallet:         0x7465C8b4C7a9068c440044222539f993bf4537A7</w:t>
        <w:br/>
        <w:t>4. Click 'Verify and prepare pharmacy handoff'.</w:t>
        <w:br/>
        <w:t>5. A new scoped file named 'medisafe-pharmacy-presentation.json' is generated and downloaded.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"kind": "medisafe-patient-presentation-v1",</w:t>
              <w:br/>
              <w:t xml:space="preserve">  "prescriptionId": "0x8a91bc74...12f0",</w:t>
              <w:br/>
              <w:t xml:space="preserve">  "patientHash": "0x3a890f5c1209b5329fce831d10294c8e718290f6e3c1294801fb2941038e92d1",</w:t>
              <w:br/>
              <w:t xml:space="preserve">  "chainId": "31337",</w:t>
              <w:br/>
              <w:t xml:space="preserve">  "registryAddress": "0x0165878A594ca255338adfa4d48449f69242Eb8F",</w:t>
              <w:br/>
              <w:t xml:space="preserve">  "pharmacyAddress": "0x7465C8b4C7a9068c440044222539f993bf4537A7",</w:t>
              <w:br/>
              <w:t xml:space="preserve">  "expiryTime": 1732120900</w:t>
              <w:br/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4F1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24" w:color="087D66"/>
              <w:bottom w:val="none"/>
              <w:right w:val="none"/>
            </w:tcBorders>
          </w:tcPr>
          <w:p>
            <w:r>
              <w:rPr>
                <w:rFonts w:ascii="Arial" w:hAnsi="Arial"/>
                <w:b/>
                <w:color w:val="087D66"/>
                <w:sz w:val="19"/>
              </w:rPr>
              <w:t xml:space="preserve">[ANTI-REPLAY SECURITY] </w:t>
            </w:r>
            <w:r>
              <w:rPr>
                <w:rFonts w:ascii="Arial" w:hAnsi="Arial"/>
                <w:color w:val="1E293B"/>
                <w:sz w:val="19"/>
              </w:rPr>
              <w:t>Presentation Scoping Protection: If an unauthorized third party intercepts this presentation, they cannot use it at another pharmacy or on another blockchain network. The smart contract enforces that msg.sender must match pharmacyAddress.</w:t>
            </w:r>
          </w:p>
        </w:tc>
      </w:tr>
    </w:tbl>
    <w:p/>
    <w:p>
      <w:r>
        <w:rPr>
          <w:b/>
          <w:color w:val="087D66"/>
          <w:sz w:val="22"/>
        </w:rPr>
        <w:t>STAGE 4: Pharmacy Multi-Layer Verification &amp; Dispensing</w:t>
      </w:r>
    </w:p>
    <w:p>
      <w:r>
        <w:t>1. In MetaMask, switch to the Pharmacy account (0x7465C8b4C7a9068c440044222539f993bf4537A7).</w:t>
        <w:br/>
        <w:t>2. Sign in as Pharmacy on http://localhost:5173.</w:t>
        <w:br/>
        <w:t>3. On the Pharmacy desk, provide:</w:t>
        <w:br/>
        <w:t xml:space="preserve">   • Encrypted Patient Presentation: Upload medisafe-pharmacy-presentation.json</w:t>
        <w:br/>
        <w:t xml:space="preserve">   • Credential Passphrase:          PharmacyPass123!</w:t>
        <w:br/>
        <w:t>4. Click 'Verify &amp; dispense medication'.</w:t>
        <w:br/>
        <w:t>5. MetaMask pops up to execute verifyAndDispenseWithPatientHash(prescriptionId, presentedPatientHash).</w:t>
      </w:r>
    </w:p>
    <w:p>
      <w:r>
        <w:t>The Smart Contract atomically executes 5 security gates in a single transaction: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87D6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Gate #</w:t>
            </w:r>
          </w:p>
        </w:tc>
        <w:tc>
          <w:tcPr>
            <w:tcW w:type="dxa" w:w="3120"/>
            <w:shd w:fill="087D6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Validation Target</w:t>
            </w:r>
          </w:p>
        </w:tc>
        <w:tc>
          <w:tcPr>
            <w:tcW w:type="dxa" w:w="3120"/>
            <w:shd w:fill="087D6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Smart Contract Assertion / Rule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Gate 1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Existence &amp; Expiry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p.prescriptionId != 0 &amp;&amp; block.timestamp &lt;= p.expiryTime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Gate 2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Single-Use State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p.status == PrescriptionStatus.ACTIVE (rejects USED / REVOKED)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Gate 3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Patient Hash Match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p.patientHash == presentedPatientHash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Gate 4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Component 2 AI Risk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riskRegistry.getRiskScore(batchId) &lt;= 69 &amp;&amp; isBatchSafe == true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Gate 5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Component 3 Trust Score</w:t>
            </w:r>
          </w:p>
        </w:tc>
        <w:tc>
          <w:tcPr>
            <w:tcW w:type="dxa" w:w="31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pharmacyTrust.getTrustScore(msg.sender) &gt;= 70 &amp;&amp; isPharmacyTrusted == true</w:t>
            </w:r>
          </w:p>
        </w:tc>
      </w:tr>
    </w:tbl>
    <w:p/>
    <w:p>
      <w:r>
        <w:t>Upon successful execution:</w:t>
        <w:br/>
        <w:t>• The status is permanently changed to PrescriptionStatus.USED.</w:t>
        <w:br/>
        <w:t>• Events PrescriptionDispensed and PrescriptionStatusChanged are emitted.</w:t>
        <w:br/>
        <w:t>• The pharmacist receives instant on-screen confirmation that the medication is authentic, safe, and officially dispensed.</w:t>
      </w:r>
    </w:p>
    <w:p>
      <w:pPr>
        <w:keepNext/>
        <w:spacing w:before="320" w:after="120"/>
        <w:pBdr>
          <w:bottom w:val="single" w:sz="14" w:space="4" w:color="087D66"/>
        </w:pBdr>
      </w:pPr>
      <w:r>
        <w:rPr>
          <w:rFonts w:ascii="Arial" w:hAnsi="Arial"/>
          <w:b/>
          <w:color w:val="087D66"/>
          <w:sz w:val="26"/>
        </w:rPr>
        <w:t>4. Smart Contract Schema &amp; Events Reference</w:t>
      </w:r>
    </w:p>
    <w:p>
      <w:r>
        <w:t>Solidity struct definition in PrescriptionRegistry.sol: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pPr>
              <w:spacing w:line="264" w:lineRule="auto"/>
            </w:pPr>
            <w:r>
              <w:rPr>
                <w:rFonts w:ascii="Consolas" w:hAnsi="Consolas"/>
                <w:color w:val="0F172A"/>
                <w:sz w:val="17"/>
              </w:rPr>
              <w:t>enum PrescriptionStatus {</w:t>
              <w:br/>
              <w:t xml:space="preserve">    ACTIVE,   // 0: Valid, available to dispense</w:t>
              <w:br/>
              <w:t xml:space="preserve">    USED,     // 1: Dispensed once, permanently consumed</w:t>
              <w:br/>
              <w:t xml:space="preserve">    EXPIRED,  // 2: Exceeded validity timestamp</w:t>
              <w:br/>
              <w:t xml:space="preserve">    REVOKED   // 3: Cancelled by issuing doctor or admin</w:t>
              <w:br/>
              <w:t>}</w:t>
              <w:br/>
              <w:br/>
              <w:t>struct Prescription {</w:t>
              <w:br/>
              <w:t xml:space="preserve">    bytes32 prescriptionId;    // Unique 32-byte identifier</w:t>
              <w:br/>
              <w:t xml:space="preserve">    bytes32 patientHash;       // Off-chain Keccak-256 patient identity hash</w:t>
              <w:br/>
              <w:t xml:space="preserve">    string medicineId;         // E.g. "MED-AMOX-500"</w:t>
              <w:br/>
              <w:t xml:space="preserve">    string batchId;            // E.g. "BATCH-SAFE-001"</w:t>
              <w:br/>
              <w:t xml:space="preserve">    address doctorAddress;     // On-chain issuer address</w:t>
              <w:br/>
              <w:t xml:space="preserve">    uint256 issuedAt;          // UNIX block timestamp at creation</w:t>
              <w:br/>
              <w:t xml:space="preserve">    uint256 expiryTime;        // UNIX block timestamp for expiration</w:t>
              <w:br/>
              <w:t xml:space="preserve">    PrescriptionStatus status; // Enum tracking single-use lifecycle</w:t>
              <w:br/>
              <w:t>}</w:t>
            </w:r>
          </w:p>
        </w:tc>
      </w:tr>
    </w:tbl>
    <w:p/>
    <w:p>
      <w:pPr>
        <w:keepNext/>
        <w:spacing w:before="320" w:after="120"/>
        <w:pBdr>
          <w:bottom w:val="single" w:sz="14" w:space="4" w:color="087D66"/>
        </w:pBdr>
      </w:pPr>
      <w:r>
        <w:rPr>
          <w:rFonts w:ascii="Arial" w:hAnsi="Arial"/>
          <w:b/>
          <w:color w:val="087D66"/>
          <w:sz w:val="26"/>
        </w:rPr>
        <w:t>5. VS Code Execution Quick Reference</w:t>
      </w:r>
    </w:p>
    <w:p>
      <w:r>
        <w:t>To run Component 4 in VS Code, open 3 terminal tabs:</w:t>
      </w:r>
    </w:p>
    <w:p>
      <w:r>
        <w:t>Terminal 1 (Blockchain):</w:t>
        <w:br/>
        <w:t xml:space="preserve">  cd blockchain</w:t>
        <w:br/>
        <w:t xml:space="preserve">  npx hardhat node</w:t>
        <w:br/>
        <w:t xml:space="preserve">  npx hardhat run ../scripts/setup/setup_component4_demo.js --network localhost</w:t>
        <w:br/>
        <w:br/>
        <w:t>Terminal 2 (Backend API):</w:t>
        <w:br/>
        <w:t xml:space="preserve">  cd backend/component4-prescription</w:t>
        <w:br/>
        <w:t xml:space="preserve">  node server.js</w:t>
        <w:br/>
        <w:br/>
        <w:t>Terminal 3 (Frontend Web App):</w:t>
        <w:br/>
        <w:t xml:space="preserve">  cd frontend</w:t>
        <w:br/>
        <w:t xml:space="preserve">  npm run dev</w:t>
        <w:br/>
        <w:br/>
        <w:t>Then visit http://localhost:5173 in Google Chrome with MetaMask connected to Hardhat Localhost (http://127.0.0.1:8545, Chain ID: 31337).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